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ويكيبيديا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الموسوعة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الحرة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التنقلاذهب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البحث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WWImontage.jpg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إريزيستابل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الدردنيل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رشاش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ألباتروس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عامة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–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828)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اغتيال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الأرشيدوق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فرديناند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1478)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1919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1542)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أفريقيا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الأطلسي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وقبالة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والشمالية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المستعمرات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المتحاربون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(1914–1917).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(1914–17)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(1861-1946).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(1915–18)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(1917–18)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Montenegro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(1905–1918).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الأسود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(1916–18)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(1917–18)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البرتغال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(1916–18)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وآخرون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(1867–1919).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(1869-1918).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(1915–18)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المتحاربين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المشاركين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(1914-16)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الدراويش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شمر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وآخرون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القادة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كليمانصو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بوانكاريه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فرديناند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فوش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أسكويث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جورج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دوغلاس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إيرل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نيقولا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إمبراطور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نيكولاي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نيكولايفيتش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ألكسي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بروسيلوف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(1861-1946).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فيكتور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عمانويل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(1861-1946).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فيتوريو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إمانويلي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أورلاندو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(1861-1946).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لويجي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كادورنا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وودرو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ويلسون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بيرشنغ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فرديناند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كونستانتين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بريزان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تايشو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(1882-1918).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(1882-1918).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رادومير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يوتنيك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وآخرون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فيلهلم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هيندنبورغ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لودندورف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فالكنهاين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هيلموت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مولتكه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(1869-1918).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فرانتس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(1914–16)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(1869-1918).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كارل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إمبراطور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(1916–18)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(1869-1918).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هوتزيندروف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(1869-1918).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ستروسنبيرغ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باشا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ساندرز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باشا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باشا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أتاتورك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فرديناند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نيكولا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زيكوف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وآخرون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(1914–1917).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12,000,000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8,841,541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8,660,000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(1861-1946).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5,615,140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4,743,826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1,234,000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800,000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707,343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380,000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(1863-1924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1935-1970).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250,000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42,959,850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(1867–1919).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13,250,000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(1869-1918).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7,800,000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2,998,321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1,200,000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25,248,321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الخسائر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5,525,000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12,831,500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المفقودين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4,121,000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22,477,500  ...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4,386,000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8,388,000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المفقودين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3,629,000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16,403,000  ...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توثيق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القالب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حينئذ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ستنهي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مصرعهم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والصناعي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للمتحاربين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والركود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التمهيد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لتغييرات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1917–1923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ساهمت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النزاع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متعارضين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وإيرلندا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والجمهورية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وتوسيعها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1914،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استقرارها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الضعيفة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1912-1913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المتنافسة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البوسني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اليوغوسلافي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غافريلو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برينسيب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باغتيال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الأرشيدوق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فرديناند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زوجته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سراييفو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أصدرت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إنذارا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استقطبت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المتشابكة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الاستعمارية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أصدرت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للعاصمة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28،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وأوديسا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وموسكو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31،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غضون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الامتثال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مقاطعتي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الألزاس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واللورين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تنازلت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1870-1871،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والالتزامات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الاستراتيجية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جبهتين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هزيمة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غضون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شليفن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البلجيكية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(1839)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وامتثالا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لالتزاماتها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23،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واغتنمت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لتوسيع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نفوذها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الاستيلاء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الممتلكات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استنزاف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جيشان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لاتفاقهما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لمهاجمة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نجحوا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بانتصارات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تانينبرغ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ماسوريان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القوقاز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وانضمت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يحاولون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المكسيك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انهارت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ليتوفسك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الاستبدادي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وجاءت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المؤقتة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الجمهورية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السوفياتية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الاشتراكية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احتشدوا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ودفعوهم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فيلهلم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استبدلت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المعاهدات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فرساي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ساهمت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ونشوب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التسمية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الدوافع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2.1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والعسكرية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2.2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التسلح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2.3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مقدمة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3.1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سراييفو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3.2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والهرسك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3.3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4.1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الارتباك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المركزية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4.2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4.3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4.4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وفرنسا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4.5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والهادئ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4.6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الأفريقية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4.7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للحلفاء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4.8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4.9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4.10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اليابانية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4.11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4.12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4.13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4.14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4.15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4.16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4.17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4.18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4.19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(1916)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4.20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4.21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الرومانية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4.22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4.23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الأولية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4.24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4.25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التشيكوسلوفاكي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4.26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مفاوضات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</w:t>
        <w:tab/>
        <w:t xml:space="preserve">1917–1918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4.28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4.29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1917-1918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4.30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4.31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4.32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4.33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4.34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4.35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والتنازلات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4.36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5.1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والمادية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5.2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5.3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5.4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سايكس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بيكو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5.5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بلفور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5.6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الانتداب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5.7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5.8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التكنولوجيا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6.1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البرية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6.2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6.3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الطيران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7.1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بارالونغ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7.2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إتش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إتش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اندوفري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كاسيل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7.3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7.4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والتطهير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العرقي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7.5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7.6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اغتصاب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8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8.1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8.2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المراسليين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الحربيين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8.3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العسكريون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9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التأييد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والمعارضة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9.1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التأييد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9.2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المعارضة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9.3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التجنيد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9.4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الصغار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10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الإرث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10.1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الذكرى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10.2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الثقافية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10.3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السينما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10.4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الاجتماعية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10.5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10.6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10.7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الاقتصادية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11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12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وسائط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13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14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المراجع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15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الأجنبية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16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التسمية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ماكلين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Magazine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نيويورك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إرنست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بالمعنى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المؤرخ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الإنجليزي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تشارلز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ريبنغتون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Weltkrieg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mondiale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Первая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мировая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война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باليونانية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Παγκόσμιος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Πόλεμος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Први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светски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рат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بالبلغارية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Първа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световна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война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بالإيطالية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mondiale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عمومی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بالرومانية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Război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Mondial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第一次世界大战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الدوافع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والعسكرية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معقدة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1900.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بسمارك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بالتفاوض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الأباطرة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المزدوج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مواطنو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سراييفو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يقرؤون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لإمبراطوريتها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1908.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بسمارك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فيلهلم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بسمارك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للتقاعد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1890.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الأنجلو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الاتفاقيات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التسلح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فيلهلم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اقتصادية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تأسست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الأدميرال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تيربيتز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منافسة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Dreadnought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منافستها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50٪.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1913.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67,5</w:t>
        <w:tab/>
        <w:t xml:space="preserve">1009</w:t>
        <w:tab/>
        <w:t xml:space="preserve">467</w:t>
        <w:tab/>
        <w:t xml:space="preserve">1476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52,7</w:t>
        <w:tab/>
        <w:t xml:space="preserve">496</w:t>
        <w:tab/>
        <w:t xml:space="preserve">155</w:t>
        <w:tab/>
        <w:t xml:space="preserve">651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35,1</w:t>
        <w:tab/>
        <w:t xml:space="preserve">332</w:t>
        <w:tab/>
        <w:t xml:space="preserve">205</w:t>
        <w:tab/>
        <w:t xml:space="preserve">537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157,8</w:t>
        <w:tab/>
        <w:t xml:space="preserve">1254</w:t>
        <w:tab/>
        <w:t xml:space="preserve">498</w:t>
        <w:tab/>
        <w:t xml:space="preserve">1752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39,7</w:t>
        <w:tab/>
        <w:t xml:space="preserve">766</w:t>
        <w:tab/>
        <w:t xml:space="preserve">412</w:t>
        <w:tab/>
        <w:t xml:space="preserve">1178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46</w:t>
        <w:tab/>
        <w:t xml:space="preserve">576</w:t>
        <w:tab/>
        <w:t xml:space="preserve">945</w:t>
        <w:tab/>
        <w:t xml:space="preserve">1521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96,8</w:t>
        <w:tab/>
        <w:t xml:space="preserve">422</w:t>
        <w:tab/>
        <w:t xml:space="preserve">595</w:t>
        <w:tab/>
        <w:t xml:space="preserve">1017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54,3</w:t>
        <w:tab/>
        <w:t xml:space="preserve">207</w:t>
        <w:tab/>
        <w:t xml:space="preserve">203</w:t>
        <w:tab/>
        <w:t xml:space="preserve">410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يقاتلون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والبلدان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للبوسنة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والهرسك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البوسنية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(1908–1909)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والهرسك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أغضب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ورعاتها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والأرثودكسية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زعزعت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ببرميل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1913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الضعيفة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توسعت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هاجمت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مقدونيا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دوبروجا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لزعزعة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إنجلترا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نفوذها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اشتداد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الاستيلاء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أراضيها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ومضائقها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بوتيرة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مقدمة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غافريلو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برينسيب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(1914)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اغتياله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الأرشيدوق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فرديناند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سراييفو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سراييفو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غافريلو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برينسيب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فيرديناند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الأرشيدوق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فرديناند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وزوجته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بسراييفو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والهرسك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نيديليكو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كابرينوفيك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سيفيتكو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بوبوفيتش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غافريلو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برينسيب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تريفكو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غاربيز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وفاسو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كبريلوفيك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10:10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فألقى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نيديليكو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كابرينوفيك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الأرشيدوق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المكشوفة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16-20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اغتياله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مستشفى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سراييفو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اتخذت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غافريلو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برينسيب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برينسيب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مسدسه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فرديناند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الوداجي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للأرشيدوق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فأصابت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زوجته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المؤرخ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زبينيك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والإثنين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للموسيقى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والهرسك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مناهضة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سراييفو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(1914)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سراييفو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مناهضة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سراييفو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الكرواتيين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والبوسنيين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وتضرر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المملوكة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البوغروم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أندريتش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كراهية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سراييفو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Sarajevo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سراييفو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كرواتيا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والبوسنة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والهرسك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والهرسك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بسجن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وترحيل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2,200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وأغلبهم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تأسست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ميلشيا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Schutzkorps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الاضطهاد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الممتلكات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سراييفو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الاغتيال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الدبلوماسية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والاعتقاد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المؤامرة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رغبتهم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راغبة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نفوذها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لمحميتها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بإعلان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إنذار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بتعبئتها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غضون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شليفن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بالتزامن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أصدرت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قاومت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الانسحاب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هاجمت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لوكسمبورغ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للإنذار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الارتباك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المركزية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استراتيجية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التفسيرات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جناحها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بروغرام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Septemberprogramm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ومحكمة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تيوبالت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هولفيغ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ستهزم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غضون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صاغها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سكرتيره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رايزلير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المؤرخ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توسعية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بلايريو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وخاضت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كولومبارا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فادحة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مضعفة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هزيمتها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هزيمة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محاولتها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الانتصارات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المفاجئة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مومسيلو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غافريك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تربوسنيكا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وإخوته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ترقيته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وفرنسا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المستشفى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ميدانية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شليفن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ولتلبية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السيناريو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شليفن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هزيمة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(1870–1871))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تهاجم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لإقليم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الألزاس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واللورين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المانش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للإستيلاء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البضائع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فيلهلم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يستمروا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البلجيكية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البلجيكية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(4-16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الانضمام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البلجيكية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أنتويرب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البلجيكية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ولاسيما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(14–24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(5–12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للانسحاب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ألزاس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منشغلة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جيشين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ودخلوا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فاجأ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الميداني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هيندنبورغ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تاننبرغ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وانتصروا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230,000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الاتصالات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والقرارات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نجاحها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والهادئ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الآسيوي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والهادئ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التجنيد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ملبورن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نيوزيلندا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الأسترالية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بوميرن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جيمشوغ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Zhemchug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اللؤلؤة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بينانق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ميكرونيسيا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تسينغتاو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تشينغداو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شاندونغ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تشينغداو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تشينغداو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الأفريقية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الأفريقي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الاشتباكات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أفريقيا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6–7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توغولاند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والكاميرون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هاجمت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أفريقيا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أفريقيا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الإستعمار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أفريقيا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الكولونيل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فوربيك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للحلفاء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الإنكليزية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الأفغانية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الثالثةالمؤامرة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للمخاوف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لاندلاع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اعتقدوا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1,3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أفريقيا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والولاية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140,000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47,746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65,126.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المعاناة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ودفعهم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المهاتما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وآخرون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 stained British soldiers at rest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ألستر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خندق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الاتصالات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امتازت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خذت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وتحصينها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وتجهيزها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مواجهاتها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التكتيكات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التكنلوجي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بالرشاشات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الصعوبة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تكتيكات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فادحة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التكنولوجيا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والدبابات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بالإستطلاع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إقليم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(5–12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بتطويق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الالتفاف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تواجهان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خندق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الراسخة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البلجيكي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اتخذت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الأنجلو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استفاد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(1899-1902)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(1904-1905)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التحصينات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الميدانية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خنادقهم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لجيوشهم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انسحاب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الإتفاقيات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واعتمدت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الإتفاقيات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متيقنة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خاضعة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الاتصالات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لوحداته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لعرقلة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يذهبون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للمراحيض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احتياجاته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يخرجون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للجلوس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لإصلاح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مرأى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اليابانية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تسينغتاو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الآسيوية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تايلند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المستحيلات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أصدرت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أوامرها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بتدمير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يتلقى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تسينغتاو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تطلعها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استيلائها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تسيطر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كياوتشاو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وشانتونغ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تطلعت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متفوقة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مشغولة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والتهديد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اللاجئين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باستطاعة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يثيروا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الديكتاتوري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بامتيازات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واقتصادية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ووقفت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مغالاة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مطالبها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الإتفاقيات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حكومتا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لإستغلال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واضطرت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الإتفاقيات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لانشغالها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بميادين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جاليبولي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انتهكوا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لاهاي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1907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واستعملوا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فليرز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كورسيليت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الانتصارات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فألحقوا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الهزيمة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غورليس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(2-10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وحاولوا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الانتصارات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325000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استرداد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إخضاع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وألحقوا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هزيمة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يحققوا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الانزعاج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الإنجليزي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ذخائر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ومطالبته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ائتلافية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والثمانين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1916.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1914-1916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الإستراتيجية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استراتيجي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700,000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975,000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للجانبين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بمعركتين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نشبتا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57,470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19,240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420,000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وبلغت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الانهيار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استنفاذ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وجاءت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الهزيمة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1917).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المتزامنة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ريدج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باشنديل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مستنقع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متحصينين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خرسانية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رشاشة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التحصينات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بمثابة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المهاجمين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لهجمات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وشاهدتهم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يحاولون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ويكافحون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المستنقع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غارقين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أكتافهم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انقاذهم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المستحيل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الرشاشات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بالمرصاد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فحصدت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of soldiers with rifles slung follow close behind a tank, there is a dead body in the foreground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ريدج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1917.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الإنجليزي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الضخم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الإنجليز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كالألغام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أساطيلهم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بمجموعتهم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كالبوارج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ترددوا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ناوشت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يوبخونهم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عجزهم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المواجهات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تقابلت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متكافئة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متأكدين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واعتقدت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كقوارب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بمهاجمة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طوربيدات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وطاقم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يشغلان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بمقدور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ماتنف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هجماتها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مخزونها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الطوربيدات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لمهاجمة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تعقبت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تشينغداو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إغراقه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والمدمرة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Scharnhorst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Gneisenau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Nürnberg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Leipzig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للمهاجمة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إثنتان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كورونل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فوكلاند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دريسدن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الاحتياطية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بإغلاق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المانش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الألغام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الأطلسي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فرساي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الإتفاقيات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الإتفاق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الألغام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شنتها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التهديدات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واجهتها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تحذيرها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وإخلائها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وبدؤوا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بإغراق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عشوائيا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يعودوا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للالتزام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الاشتباك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استرضاء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استئناف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تجويع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وحلفائها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خصوصا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وترافقها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فاعليته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Blücher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يانير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Blücher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لإنقاذ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زبلين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القذائف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الوثائق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1,200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ريتشارد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ماشرعنا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بإمكانه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جوتلاند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والإنجليزي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الإنجليزي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بالقذائف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ذخيرتها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وطاقمها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جوتلاند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الالتحام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انتظارة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بلندن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إنذار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المفاجئ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المكسيك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وإغراق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لوسيتانيا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بتسليح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أدركوا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لخنق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أبطأت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اضطرار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برنامج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ناقلات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الأطلسي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زبلين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تونديرن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ككاشف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تلجأ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استيرادها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فاستخدموا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والبترول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التخفيف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هزيمتها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هيندينبورغ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فيلهلم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ولوندورف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1917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ماغرقت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إنقاذه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ضئيلة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بالقذائف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المرتطمة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اختنق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ببساطة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يتلقى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إخلاؤه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اعتيادية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المنفجرة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المذبحة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التجهيزات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المفكوكة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المربوطة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بإحكام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للتدمير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كوريقات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كأبراج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جوتلاند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تذكرها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الرائحة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المنبعثة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المتفحمة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بشعور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الغثيان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واستطرد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بالطوابق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مقدونيابلغاريا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850,000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كولومبارا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وتمكنوا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الاحتياطية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الدبلوماسين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والنمساويين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بانقلاب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محافظات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سلوفينيا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كرواتيا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والبوسنة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لاجتياح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اللاجئين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لايبنيتز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شتايرمارك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1915/1914.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جبهتين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ألبانيا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الهزيمة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كوسوفو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6–7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موجكوفاك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تراجعوا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كتغطية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سلانيك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قسطنطين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وزرائه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إلفثيريوس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فينيزيلوس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وغزوا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انهيار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فينيزيلوس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قسطنطين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باعتقاده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زوجته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حاشيته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مقدونيا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راكدة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مقدونيا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الإستيلاء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بيتولا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موناستير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الإستيلاء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1914-1918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البلغاريون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هزيمة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دوبرو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استسلمت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استجابت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تأسيس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بودابست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هيندينبيرغ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وودندورف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الاستراتيجية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المتوازنة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القوقاز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لقناة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أرثوذكس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الأرثوذكس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لمصالحها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واجهت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الإتحاديين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ويكيلكيا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والأناضول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تطلعت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خاضعة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تطلعات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للاحتلال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اشتركت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اضطهاد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إجبارهم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الأناضول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راوندوز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وخانقين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تعذيب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فلولهم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ومجزرة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ومذابح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ضحيتها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إسطنبول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ديارهم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وأجبرهم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حرمانهم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اغتصاب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مجتمعات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مذابح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العشرين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مذابح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القتلى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الترحيل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والترحيل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المبعدين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مهاجمتها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والآشوريين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واليونانيين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الباحثين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أنتهجتها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مذابح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ومجازر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والمؤرخين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جبهاتها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جاليبولي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جاليبولي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(1915)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الأسترالي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والنيوزيلندي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جاليبولي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كارثة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(1915–1916)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القبائل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والآشورية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القبائل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والتركمانية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Foreground, a battery of 16 heavy guns. Background, conical tents and support vehicles.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1917.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1916؛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آنذاك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للبريطانيين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نيوزيلندا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وأستراليا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انهزمت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(3-5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وكتيبة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الأسترالي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والنيوزيلندي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مغضبة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القوقاز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طموح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القوقاز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118,660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إصراره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ساريقاميش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فتقلصت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مدافعه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خندق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ساريقاميش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1914–1915.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لخزانات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قزوين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ولطالما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والأذربيجانية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القبائل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الإيرانية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قشقاي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الخاميسيون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والتنغستانيون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الآشوريون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وحلفائهم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والآشورية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ألحقت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الهزائم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وحلفائهم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هزيمتهم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وأجبروهم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الجنرال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نيكولاي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يودنيتش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إخراج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القوقاز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الانتصارات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نيكولاي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نيكولايفيتش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القوقاز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نيكولايفتش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جورجيا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القوقازي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بالتفكك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(1916)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بتحريض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وانطلقت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ثكنات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بإعلان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المتهمين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يشنقهم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زعماء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الإتحاديين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خرجوا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وخرجوا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وشنقوا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ونفوها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وصادروا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نصحنا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فضربنا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الإتحاديين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وإنفصلت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إنفصال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لاتشوبه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شائبة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أجنبية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جاعلين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وإعلاء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مستندين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المكرمة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الهاشمي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المكرمة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قاتلوا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وتسليح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القبائل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بالبريطانيون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يرسلوا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للاعتراض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650,000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725,000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325,000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والجرحى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400,000).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إيسونزو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تيرول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1915.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متحالفة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ترينتو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ودالماسيا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إبطال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تحالفهما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المفاوضات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لتأمين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ترينتينو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أديجي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وإقليم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دالماسيا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البلشفيين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البلشفية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بصحيفة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إزفيستيا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سالاندرا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سونينو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فيكتور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عمانويل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المفاوضات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المتزامنة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الكاربات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سالاندرا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بالإعتقاد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لمبعوثه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غضون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ألغى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سالاندرا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.»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بجيشها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والاستراتيجيات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والتكتيتات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لويجي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كادورنا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باقتحام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سلوفينيا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الاستيلاء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ليوبليانا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وتهديد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الصعوبات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تواجهها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الجوليانية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وهضبة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والتغييرات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التكنلوجية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تورنتينو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وفضلت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الاستراتيجية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أسياغو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بادوفا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أسياغو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يحرزوا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لويجي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كادورنا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إيسونزو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ترييستي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دوبردو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غوريتسيا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بانجسيك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غوريتسيا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تعزيزات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ونخبة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مقدمتهم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كابوريتو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كوباريد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انهزم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كابوريتو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مايمسمى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بالإنجليزية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)‏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بالإيطالية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Ragazzi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99)‏/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فيتوريو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فينيتو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السلوفينيين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ترييستي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بأكمله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وسيطروا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دالماسيا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مضمونة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إنريكو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لدالماسيا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استسلمت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الرومانية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المارشال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جوزيف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جوفري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1916.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متحالفة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ترانسيلفانيا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ترانسيلفانيا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تراسيلفانيا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بوخارست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بوخارست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مولدوفا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مأزق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تكلفته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البلشفية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جيوشها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وإصابتها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والمذابح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إنقاذ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المتدهور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إرغام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ميراسيستي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1917.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سيطرت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بيسارابيا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البلشفية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مفاوضات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5–9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انسحاب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بيسارابيا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غضون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البلشفية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لتهدئة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بيسارابيا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بيسارابيا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بوخارست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تنازلات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إقليمية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وإعطاء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كاربات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وتأجير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وإرجاع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دوبروجا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دوبروجا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بيسارابيا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ألكساندرو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مارغيلومان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كومبيين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748,000.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الأولية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انتظار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1917.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تغزو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تراجعوا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الجنرال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هيندنبورغ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والجنرال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لودندورف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تاننبرغ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ماسوريان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اقتصادي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وارسو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وأجبروا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(1917)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بروسيلوف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انتعشت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مؤقتا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ترانسيلفانيا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هاجمت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البلغارية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وسقطت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بوخارست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الاضطرابات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نيقولا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ألكسندرا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الاحتجاجات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متزايد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غريغوري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راسبوتين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المظاهرات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بطرسبرغ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نيقولا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مؤقتة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ومشاركتها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الاشتراكيين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بطرسبرغ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الارتباك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ولايقاوم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المظاهرات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ليتوفسك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1918.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أوتوكار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سيرنين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ريتشارد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كوهلمان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فاسيل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رادوسلافوف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المؤقتة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البلشفي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فلاديمير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البلشفية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ومفاوضات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أوكرانيا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ليتوفسك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البلطيق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وبولندا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أوكرانيا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الامتناع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أرداهان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وباطوم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العتاد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ليتوفسك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الأهلية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الأهلية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أرخانغلسك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وفلاديفوستوك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التشيكوسلوفاكي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التشيكوسلوفاكي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التشيكوسلوفاكي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فلاديفوستوك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1918.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التشيكوسلوفاكي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يكسبوا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تأييدهم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تشيكوسلوفاكيا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المتطوعين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تواجهت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التشيكوسلوفاكية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أوكرانيا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زبوريف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زبوريف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التشيكوسلوفاكي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التشيكوسلوفاكية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باخماتش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وأجبرهم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انشغلت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الأهلية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لسيبيريا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سيبيريا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التشيكوسلوفاكي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ييكاتيرينبرغ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للبلاشفة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ليطلقوا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الموانئ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فلاديفوستوك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1920.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مفاوضات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ونجاح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عاجزة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تتداعى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والتذمر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أمضوا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جوتلاند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(1916)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والمتنفذين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التذمر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بوساطة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وودرو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يذكرا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مطالبهما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المفاوضات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مقترحات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وذكرت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مفاوضات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بإجلاء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تعويضات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الأضرار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بمسألة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الضمانات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كشرط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لصالحها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وحكومتها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يقبلوا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والقيادات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مناصبها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وتفسح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ديموقراطية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الديموقراطيات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واستقالت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1917–1918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بآثارها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تيوبالت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هولفيغ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تجويع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الإنجليز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الإنجليزي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سيكلف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ستجلب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وبلغت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ذروتها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وانضمت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بالانخفاض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103,738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20,020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761,000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أوتوكروم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لوميير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بالإستطلاع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إقليم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1917.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الانصياع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أسلحتهم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ضباطهم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بأكملها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تدابير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لمعاقبتهم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الاحتياطية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وتراجعوا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هاجمت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الاعتقالات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والمحاكمات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خنادقهم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كابوريتو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الهزيمة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استراتيجية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التعزيزات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يتمكنوا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يخشون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متزايد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الاضطرابات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الاجتماعية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تشارلز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مفاوضات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كليمانصو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زوجته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سيكستوس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المقترحات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المفاوضات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كارثة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دبلوماسية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1917-1918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وفلسطين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(17–19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استؤنفت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الجنرال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إدموند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وهجومه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إدموند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انهزم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جيشين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الإستيلاء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انهزمت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الجنرال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كرسنشتاين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شوبانلي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فالكنهاين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بأوتو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ساندرز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الرماحون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الاستيلاء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أريحا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والتدريب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نفذت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وللتأقلم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ومستعدة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اقتحمت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(19–25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والهندية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طولكرم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ميداني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(19–20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الإستيلاء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نابلس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(19 - 25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الصحراوي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الأسترالي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النيوزيلندية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باحتلال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العفولة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16:30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18:00،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العفولة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دخلوها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والناصرة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وطبريا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دمشق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وزيزا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مودروس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الكونغرس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زيمرمان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آرثر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زيمرمان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واشنطن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هانريش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إيكارد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المكسيك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1917-1918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1918-1919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اتخذت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لوسيتانيا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وودرو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مطالبته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بإنهاء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وامتثلت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تهاجم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تنتهك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ثيودور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روزفلت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بالقرصنة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الداعمون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استأنفت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زيمرمان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المكسيك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للمكسيك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وستساعدها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استرداد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أراضيها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ونيومكسيكو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وأريزونا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الاستخبارات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زيمرمان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الكونغرس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2.8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الكونغرس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للبورتوريكيون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أخطئوا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تعزيزات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لمساعدتهم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الجنرال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بيرشنغ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والإنجليزية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ومميزة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مسئولية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وكإستثناء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الأفريقية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والبورتوريكيون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الأفريقية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يذهبوا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قاتلوا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ثيري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تجاهلته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الإقليمية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الجنرال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لودندورف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1918:(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برودونو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استعادتها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الأسترالية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الافتتاحية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انسحبت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هيندنبيرغ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الجنرال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الرشاشات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أنقاض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كاتدرائية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1918.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هيندنبيرغ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1920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تكتيكات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تكتيكات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الجنرال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أوسكار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Stoßtruppen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اتسمت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لودندورف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وتسللت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والخدمات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اللوجستية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وتجاوز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المفاجأة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فأطلقت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قذيفة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الباريسيون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لايصابوا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بأذى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فيلهلم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افتقارهم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للدبابات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والمدفعيات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يأخذون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الجنرال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فرديناند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بيرشينغ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دولونس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بيرشنغ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ودوغلاس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لجيوشهم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فرديناند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التنسيق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جورجيت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موانئ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المانش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لأقاليم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وبدأوا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واندفعوا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270,000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تتداعى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وانعدام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إسطوانات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القوقاز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جمهورية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أرمينيا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(1918-1920)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وجمهورية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أذربيجان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وجمهورية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جورجيا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الديموقراطية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تأسست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اثنتان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ديكتاتورية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قزوين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المؤقتة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القوقاز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انسحاب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القوقازية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1917-1918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الجمهوريات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جمهورية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القوقاز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الديمقراطية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الإتحادية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الجورجيون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وإبرام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أذربيجان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أرمينيا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تكافح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يومجمهورية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فايمار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لأنقاض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Damloup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1918.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الكنديين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120,000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الدومينيون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للمدافعين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الجنرال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لودندورف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لوندروف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الانهيار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والبكاء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موظفيه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باستدعاء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إزدادت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إجبارهم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يفقدون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الدومينيون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دروكورت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كيويانت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للحسابات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أصدرت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للانسحاب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هيندينبيرغ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وتنازلوا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لوندورف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الانسحاب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بأكملها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هيندينبيرغ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وأطلقوا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وسقطت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المتنازع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والمرتفعات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والبؤر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هيندينبيرغ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شنته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(3.2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هيندينبيرغ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75,000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هيندينبيرغ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التغلغل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شامبانيا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ريدج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هيندنبيرغ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كامبري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هاجمت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هيندينبيرغ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الأسترالية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هاجمت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كوينتين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هيندينبيرغ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لودندورف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الانهيار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يحتفلون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بنبأ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الهزيمة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الأدميرال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راينهارد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لودندورف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لإستعادة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ماكسيميليان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سيعترض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لوندروف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واعتقدوا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لوندروف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اتخاذ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ففصله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انهيار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احتياطها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ماكسيميليان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مسئولية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كمستشار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للتفاوض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المفاوضات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الدستورية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والرقابة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الديمقراطي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الإجتماعي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شايدمان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جمهورية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أزيلت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الممنوحة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بالوراثة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جمهورية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فايمار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والتنازلات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الماريشال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فرديناند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خذت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كومبيين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الموافقة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انهارت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سالونيك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استسلمت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مودروس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مودروس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لاسترداد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كابوريتو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فيتوريو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فينيتو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باعتبارها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بودابست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الإمبريالية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واصلوا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ترينتو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أوديني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وترييستي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الهنغارية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جوتسي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بادوفا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هابسبورغ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الجمهورية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أوشكت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الاحتفالات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الصاخبة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تضليلية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ومزق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حتفلون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حبطون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تايمز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نيويورك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واجهات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كومبيين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11:00 -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الانسحاب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الإستيلاء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10:57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إصابته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10:58.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غانثر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بالتلويح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لغانثر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الرشاشات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إدوين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15-16).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ترومان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وأطلقت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نيرانها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المتحمسون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صارمة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بملاحقة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المعزولة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اشتبكوا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إتصال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جبهاتها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كاريكاتوري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بخنجر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مؤكدة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ليرفعوا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بثقة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ليقابلوا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أعداءهم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وليتقاسموا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والسجائر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وتلقى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إظهار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واستجداء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مراسلي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ساتوردي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ايفنينغ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التذكارات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والشوكولاته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بمسدسات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والعتاد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لجيوشهم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(720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وتراجعت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هيندينبيرغ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بتوقيعهم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تعزى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هزيمة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المواطنين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لبلدهم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والاشتراكيين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والبلاشفة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وجمهورية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فايمار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ثروة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لينفقوا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إنفاقهم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بالدولار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1913) 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الممتدة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بأسترليا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ونيوزيلندا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الشوارع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بعطلة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أصدرت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للتمويه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الجماهير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المبتهجة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ترافلجار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لإقامة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صاخب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أضاءت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نبأ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الوشيكة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مصانعه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ستدعو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مكتئبة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ومضطربة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بالهزيمة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ووجدت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الاضطرابات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المقاتلين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بتلاوة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اكتنفها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الإرهاق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والشعور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بهتافات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طابعها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الرهيب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المجندين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حينئذ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والصواريخ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يرغبوا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تسليمها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الذخائر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القذائف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الذخائر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القذائف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Douaumont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ossuary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130,000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واستعادت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الحاكمة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الأرستقراطيات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هوهنتسولرن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وهابسبورغ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الاجتماعي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والإناث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والجرحى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زوجاتهم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واجهت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التلاميذ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11-15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ماجينو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المجندين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1934-1939.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للقنابل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نوتنغهام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1917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الاجتماعية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متكافئ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المقاتلين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الجامعات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أوكسفورد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وكمبريدج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31%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أوكسفورد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والاجتماعية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تطلبت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استوعبت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المستشفيات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الانتخاب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8,538,315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ومفقود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أتلفت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الأضرار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غمرها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المتحاربة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والمادية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أسترالي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إحصائيات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المتحاربة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تضحيات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فداح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وخسرت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الثنائية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وإمبراطوريتها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وإمبراطوريتها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فخسرت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والوفيات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والمفقودون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الخسائر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1,773,700</w:t>
        <w:tab/>
        <w:t xml:space="preserve">4,216,058</w:t>
        <w:tab/>
        <w:t xml:space="preserve">1,152,800</w:t>
        <w:tab/>
        <w:t xml:space="preserve">7,142,558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1,700,000</w:t>
        <w:tab/>
        <w:t xml:space="preserve">4,950,000</w:t>
        <w:tab/>
        <w:t xml:space="preserve">2,500,000</w:t>
        <w:tab/>
        <w:t xml:space="preserve">9,150,000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1,357,800</w:t>
        <w:tab/>
        <w:t xml:space="preserve">4,266,000</w:t>
        <w:tab/>
        <w:t xml:space="preserve">537,000</w:t>
        <w:tab/>
        <w:t xml:space="preserve">6,160,800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1,200,000</w:t>
        <w:tab/>
        <w:t xml:space="preserve">3,620,000</w:t>
        <w:tab/>
        <w:t xml:space="preserve">2,200,000</w:t>
        <w:tab/>
        <w:t xml:space="preserve">7,020,000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الكومنولث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908,371</w:t>
        <w:tab/>
        <w:t xml:space="preserve">2,090,212</w:t>
        <w:tab/>
        <w:t xml:space="preserve">191,652</w:t>
        <w:tab/>
        <w:t xml:space="preserve">3,190,235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650,000</w:t>
        <w:tab/>
        <w:t xml:space="preserve">947,000</w:t>
        <w:tab/>
        <w:t xml:space="preserve">600,000</w:t>
        <w:tab/>
        <w:t xml:space="preserve">2,197,000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335,706</w:t>
        <w:tab/>
        <w:t xml:space="preserve">120,000</w:t>
        <w:tab/>
        <w:t xml:space="preserve">80,000</w:t>
        <w:tab/>
        <w:t xml:space="preserve">535,706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325,000</w:t>
        <w:tab/>
        <w:t xml:space="preserve">400,000</w:t>
        <w:tab/>
        <w:t xml:space="preserve">250,000</w:t>
        <w:tab/>
        <w:t xml:space="preserve">975,000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126,000</w:t>
        <w:tab/>
        <w:t xml:space="preserve">234,300</w:t>
        <w:tab/>
        <w:t xml:space="preserve">4,500</w:t>
        <w:tab/>
        <w:t xml:space="preserve">364,800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87,500</w:t>
        <w:tab/>
        <w:t xml:space="preserve">152,390</w:t>
        <w:tab/>
        <w:t xml:space="preserve">27,029</w:t>
        <w:tab/>
        <w:t xml:space="preserve">266,919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45,000</w:t>
        <w:tab/>
        <w:t xml:space="preserve">133,148</w:t>
        <w:tab/>
        <w:t xml:space="preserve">152,958</w:t>
        <w:tab/>
        <w:t xml:space="preserve">331,106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13,716</w:t>
        <w:tab/>
        <w:t xml:space="preserve">44,686</w:t>
        <w:tab/>
        <w:t xml:space="preserve">34,659</w:t>
        <w:tab/>
        <w:t xml:space="preserve">93,061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البرتغال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7,222</w:t>
        <w:tab/>
        <w:t xml:space="preserve">13,751</w:t>
        <w:tab/>
        <w:t xml:space="preserve">12,318</w:t>
        <w:tab/>
        <w:t xml:space="preserve">33,291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5,000</w:t>
        <w:tab/>
        <w:t xml:space="preserve">21,000</w:t>
        <w:tab/>
        <w:t xml:space="preserve">1,000</w:t>
        <w:tab/>
        <w:t xml:space="preserve">27,000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مونتينغرو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3,000</w:t>
        <w:tab/>
        <w:t xml:space="preserve">10,000</w:t>
        <w:tab/>
        <w:t xml:space="preserve">7,000</w:t>
        <w:tab/>
        <w:t xml:space="preserve">20,000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300</w:t>
        <w:tab/>
        <w:t xml:space="preserve">907</w:t>
        <w:tab/>
        <w:t xml:space="preserve">3</w:t>
        <w:tab/>
        <w:t xml:space="preserve">1,210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5,152,115</w:t>
        <w:tab/>
        <w:t xml:space="preserve">12,831,004</w:t>
        <w:tab/>
        <w:t xml:space="preserve">4,121,090</w:t>
        <w:tab/>
        <w:t xml:space="preserve">22,104,209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3,386,200</w:t>
        <w:tab/>
        <w:t xml:space="preserve">8,388,448</w:t>
        <w:tab/>
        <w:t xml:space="preserve">3,629,829</w:t>
        <w:tab/>
        <w:t xml:space="preserve">15,404,477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8,538,315</w:t>
        <w:tab/>
        <w:t xml:space="preserve">21,219,452</w:t>
        <w:tab/>
        <w:t xml:space="preserve">7,750,919</w:t>
        <w:tab/>
        <w:t xml:space="preserve">37,508,686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انهيارها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25٪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20,975345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15,044846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مسلمون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187,073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186,152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5,557,274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متشاركون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771,844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عسكريين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%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المفقودين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المفقودين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للمفقودين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الناجون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16.1%</w:t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معروف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19.4%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.9%</w:t>
        <w:tab/>
        <w:t xml:space="preserve">187,073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آشوريون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3%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.9%</w:t>
        <w:tab/>
        <w:t xml:space="preserve">186,152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مسلمون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59.7%</w:t>
        <w:tab/>
        <w:t xml:space="preserve">12,522,280</w:t>
        <w:tab/>
        <w:tab/>
        <w:t xml:space="preserve">9,876,580</w:t>
        <w:tab/>
        <w:t xml:space="preserve">2,800,000 (18.6%)</w:t>
        <w:tab/>
        <w:t xml:space="preserve">507,152 (5.1%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  <w:tab/>
        <w:tab/>
        <w:tab/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  <w:t xml:space="preserve">100%</w:t>
        <w:tab/>
        <w:t xml:space="preserve">20,975,345</w:t>
        <w:tab/>
        <w:tab/>
        <w:tab/>
        <w:tab/>
        <w:t xml:space="preserve">507,152 (2.4%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  <w:tab/>
        <w:t xml:space="preserve">4,492,848</w:t>
        <w:tab/>
        <w:t xml:space="preserve">5,000,000</w:t>
        <w:tab/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ختيرت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إتخاذ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سويسرا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المتحالفة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الأرواح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فرساي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سراييفو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المنفردة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المعقودة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1924.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الأتراك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أتاتورك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إتفاقية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البنطيون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فرساي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التأسيسي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الاستعمارية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للإستئثار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بغنائم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بورتر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هاردينغ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فرساي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1919.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واعتقدت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اجتماع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الاحتجاجات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لبدئها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مسؤولة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التعويضات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بتعويضها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المتضررة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والمواطنين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بالمهانة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النازيين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ماسموه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فرساي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للحزب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ويليبالاد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العقوبات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محرومة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اقتصادي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لاجئون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سميرنا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مذابح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البونتيك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1922.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التعويضات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تسديدها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المعاهدات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نايي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فرساي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الجمهورية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للزعامات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للتنصل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يجمعون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التجنيد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الإجباري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لاتستخم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أسطولها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أسطولها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حمولتها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هليجولاند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لاتستعيد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جادلت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يطالبون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إسترليني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مؤكدين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مينارد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لاتتعدى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كالاعتراف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بالأخطاء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الطربوش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بغدتلي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الانقسامات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يوغوسلافيا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(1918-1941)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وتشيكوسلوفاكيا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(1918–1992).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واتسعت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ترانسيلفانيا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بيسارابيا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بوكوفينا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وتنازلت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تريستا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إيستريا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التيرول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برنر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الإستراتيجي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إمبراطوريتها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انسحبت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البلشفية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إستونيا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ليتوانيا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وبولندا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تفككت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قاصرة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وسيطرت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إغلاقها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1841،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وبمقتضاها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تنازلت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القسطنطينية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أرمينيا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ولبنان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الإنتداب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الانتداب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الإنجليزي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أوكلت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الأناضول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وتراقيا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أتاتورك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والإيطاليين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واليونان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تنازلها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إلغاء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الامتيازات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الأجنبية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ميثاق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أتاتورك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أتاتورك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سايكس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بيكو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سايكس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بيكو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سايكس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اعتقدوا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فوجئوا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إتفاق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إتفاق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سايكس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الإتفاقية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حكومتا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تاريخها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بالصبغة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وصهرها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بوتقة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توثيق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وتغلغله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تألفت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الإستعلاء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للعثمانيين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استعلاؤهم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ترفعهم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أباطرة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وملوكها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بألقابهم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يرفضون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استعلائهم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تزاوجهم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الفتوحات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تاريخهم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بالأوروبين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الحضارية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الإسلامية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حظي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بكراهية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الدستور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ألغاه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بالأحرار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أوصلوه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وانفضاضهم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تأسس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بيروت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مسيحين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وتعاقدت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مراسلات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مكماهون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مراسلاته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انضمامهم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فرانسوا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سايكس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بخصوص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الإتفاقية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بطرسبيرغ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المفاوضات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الآستانة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(1915)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إسطنبول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والمضايق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لآرثر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تصريحه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الإتفاقية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جريدتا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إوفيستيا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وبرافدا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البلشفية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الإتفاقيات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إقناع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يحاولون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وحلفائها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بلفور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الصهيونية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الصهيونية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بتراخي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تأييد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الصهيونية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التنفيذية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المؤتمرات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الصهيونية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أدركوا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فرصتهم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لاتعوض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لإستغلالها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لليهود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الصهيوني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الصهيونية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المعسكرين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المتنازعين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وأخذت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مراكزها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للتحالف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الصهيونية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المعسكرين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المتحاربين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اليقظة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الزائفة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لزعماء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الصهيونية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خاضعة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للنفوذ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آنذاك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الصهيونية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الإستراتيجية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حاييم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وايزمان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صديقه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المانشستر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جارديان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آنذاك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بوايزمان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الأسيتون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كمذيب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للبارود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وايزمان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المسئولين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لإتصالات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وايزمان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المسئولين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تصريحاتهم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الصهيونية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روتشيلد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عزيزي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روتشيلد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بالنيابة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ينطوي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الصهيونية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تأسيس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اليهودي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وستبذل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لتسهيل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تتمتع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يتمتع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تكرمتم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بإحاطة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الصهيوني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المخلص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بلفور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سارعت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الصهيوني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سارعت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احتفالات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إستنكارهم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المسيحين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صهيونية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مثلثات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الوخيمة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تداعيات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المسيحين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صهيونية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الانتداب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أقطابهم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إتفاقية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سايكس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بمطالبة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طمئن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ومؤكد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تؤكدان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هدفهما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الخاضعة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وإقامة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المواطنون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بملء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إرادتهم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غلوسستر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مرسيليا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فوصلها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فاستقبلته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كزائر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المندوب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1919،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روزاريو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بيساني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1919،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إيفاد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لاستفتاء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الاقتراح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تأييد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ممثلان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لحكومته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كينغ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وتشارلس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مكامهون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وهارت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شؤون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إرسال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اللجنة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الصهيوني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الاشتراك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اللجنة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اشتملت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انسحابها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اللجنة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كينغ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اللجنة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الأهالي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اللجنة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واهتمامهم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وطغت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والصهيونية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بحدودها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إتفاقية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سايكس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ينطوي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الانتداب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وقبول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الأجنبية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بشرط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تتعارض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فمعونة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فأغضبت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الانتداب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الانتداب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ولبنان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الانتداب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كدولتين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نفصلتين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لآمال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الأسترالي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النيوزيلندي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قتالهم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غاليبولي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وسلالتها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الحاكمة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يوغسلافيا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بوهيميا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يوغوسلافيا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وتشيكوسلوفاكيا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السوفيتي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ليتوانيا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إستونيا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ولاتفيا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بتركيا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أستراليا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ونيوزيلندا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جاليبولي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–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تخوضها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تأسست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الأسترالية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أسترالية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بذكرى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الأسترالي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والنيوزيلندي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ريدج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كدومينيون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الدومينيون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نيوزيلندا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أستراليا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أفريقيا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فرساي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حاييم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وايزمان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يشجعوا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صادقت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لليهود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1,172,000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275,000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450,000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النزاع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الفلسطيني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الإسرائيلي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الفلسطينية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للمقيمين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الإسرائيلي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الصحية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1922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1921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الأوروبيين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حشدهم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صيبوا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15.1٪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17.1٪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10.5٪.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474,000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الأهلية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1920-1922.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للسوفييت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هاربن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هاجروا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التضميد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قتالهم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بازنتين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ريدج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السوم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مستشفى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675,000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فونستون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1918.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أستراليا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الأسترالي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آسف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التضحيات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وحلفائها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أستراليا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5,571,720₤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لأستراليا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376,993,052₤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معاشات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ومكافئات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831,280,947₤.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416,000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الأستراليين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أسترالي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152,000.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التيفوس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التيفوس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بالملاريا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أحدثته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المستشفيات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الالتهاب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80%.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الإنفلونرا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الأطلسي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لوياثان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والخمسين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والممرضون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الأطلسي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عجزهم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الأقوياء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يتساقطون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ويموتون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غضون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التذمر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يابانيات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مرتديات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الأقنعة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وجوههن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طوكيو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رثت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بجروح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استبدالها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الممزقة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والأطراف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المشلولة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أعقاب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معرضين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الإسعاف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أبصارهم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أطرافهم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بالتغييرات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المكفوفين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تعافوا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جراحهم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ماقتلت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أطرافهم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وأربعين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وعشرون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المتخصصين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التكنولوجيا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البرية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1919.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باعتبارها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تكنولوجيا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وتكتيكات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استفاد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التقنيات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اللاسلكي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والدبابات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1917–1918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لأقنعة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كامبريه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جاليبولي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وباشنديل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ليوفروا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قذائف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Stahlhelm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للخوذات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والذخائر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فوجدتا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القذائف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باشنديل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القذائف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بإطلاقها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توافرت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قذائف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للمتحاربين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يشغلون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للإعاقة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المؤقتة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ضحاياها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بتعطيل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وكتدابير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الأقنعة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الاستراتيجي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اتفاقيتا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لاهاي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1907.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الاتفاقيتين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المفارقات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اسطوانات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للانتباه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استدعى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الاسطوانات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القذائف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الاسطوانات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صيبوا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نورثمبرلاند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إسعاف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المتسممين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ووصفهم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ألسنتهم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وعيونهم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بفارق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هاوتزر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هاوتزر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تجميعه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المخزون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قاذفة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قاذفة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1917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بحشو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لقاذفة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الألغام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أعدائهم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صاحبها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المتحصنون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الألغام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التجويفات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بالمتفجرات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تفجيرها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المتمرسين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وتشوههم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وتصيبهم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بالذهول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بمقدور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ألغام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لاعتراض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المتحاربة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قاذفات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قاذفات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قاذف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فليرز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كورسيليت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مواردها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لجيشها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بالاستثمار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الرشاشات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واجهوا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كامبريه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وكأنما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أطرافه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يستحيل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فانتشرت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الهشيم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بالتناوب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الأطلسي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وحصانة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1917)،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ومناطيد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لغواصات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الطيران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الإستطلاعية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أساطيل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وفاقت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تفاخرت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وخمسين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للإستطلاع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للتصوير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للمهمات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الإستطلاعية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والبريطانيون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قاذفات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الإستراتيجية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زبلين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قاذفة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خذت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الإستطلاع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للإستطلاع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وللإبلاغ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وتوجيه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بمظلتين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parachutes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بالمظلة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المظلات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والمظلات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أهداف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لتحركاتهم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الإستطلاع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اعتيادية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لإسقاط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الإستطلاع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المستحيل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المقاتلين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إنجلترا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ولتوجيه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المواطنين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المقاتلين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الإستطلاع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الإستطلاع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الفوتوغرافي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بمؤقت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لمخترع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خوليوس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نيوبرونر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بارالونغ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بارالونغ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بارالونغ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غودفري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المواطنين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بالإمدادات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بارالونغ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كارل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جويتز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بارالونغ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بالاصطدام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لإغراقه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إتش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إتش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اندوفري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كاسيل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المستشفى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Llandovery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للنسف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منتهك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والممرضات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والمرضى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وطاقم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Patzig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بارتكاب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غدانسك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بوليمو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المتحاربة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ألحقت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لاتفاقيتا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لاهاي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تحظران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تقتصر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قاتلين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إنذار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نذرهم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الإنذار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أقنعة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التقديرات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260,000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ماتوا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إصابتهم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بتقرح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واصلوا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دوغلاس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مذكراته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يعيشون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والتطهير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العرقي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1916.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مذابح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الأرمنمذابح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اليونانيين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البونتيكمذابح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سيفو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التطهير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الترحيل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والإعدام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إصدارها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الترحيل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بالرحيل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المقاطعات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الأعوام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1917.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للوفيات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250,000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الاعتراف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المذبحة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عرقيات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واليونانيين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برنامج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القيصريةفولينياالثورة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(1917)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الاضطراب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الاجتماعي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البوغروم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الأهلية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مجزرة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أوكرانيا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اغتصاب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كاثوليك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الغزاة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أخلاقية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فأطلقوا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للانتقام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الرهائن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أراسكوت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دينانت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(674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وسامبرفيل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(383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6,500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والبلجيكيين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عشوائي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أحرقوها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بالبنزين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والمخطوطات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وتسببوا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الإعتداءت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اللاجئين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اغتصاب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ماقاموا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مشروع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وضروري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1870.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تقاريرها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ونشرتها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متطوعين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تجنيدهم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إجباري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قدامى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المحاربين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ديارهم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ناقشوا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المحاربين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القدامى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1917 - 1919.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معسكرات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اتفاقيتا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لاهاي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معسكرات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أقرانهم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شائكة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سنتيمترات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سنتيمتر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معسكرات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نمساويين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المسجونين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2,400,000،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موبيج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الرهائن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بروسيلوف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325,000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417,000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والنمساويين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تاننبرغ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92,000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كاوناس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Przasnysz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فبراير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14,000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استسلم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25–31%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عتقلين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والقتلى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سجنائها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32%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26%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12%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9%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الأبحاث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2,417,000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استسلموا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2.2–2.9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720,000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قبضتها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48,000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المستسلمين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استسلامهم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اللجنة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التفتيش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والمدنيين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15–20%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2.5%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بالسجن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11,800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عظمهم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4,250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معسكرات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أجبروهم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1,100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(684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الأناضول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كالبهائم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ولانتوقف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منازلهم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اتصالات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مسجونون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1924.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المراسليين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الحربيين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1917.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الإعلامية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المراقبين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والرقابة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الصارمة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المراسلين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الإعلاميين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التساؤل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تلعبه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العسكريون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المتحاربة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باستدعاء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استدعاؤهم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كجراحين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المدفعي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وقنابل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والهجمات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واجهها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وشوهت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وزملائهم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المتطوعين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المانش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المكثفة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إتابل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المستشفى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ممرضات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نظرائهم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الوفيات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مستشفى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والضغوطات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اللاحقة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لضحايا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الغنغرينا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مستحيل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كريبي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السليولوز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بالقول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.»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القفازات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اجتاحت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بالذهول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الإسعاف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الضمادات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الإسعاف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الجرحى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أخطزت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يستوجب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استوجب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بالحافلات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التأييد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والمعارضة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التأييد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اليوغوسلافي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ترومبيك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يوغوسلافيا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يوغوسلافية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نشئت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اللجنة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اليوغوسلافية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ترومبيك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المضطهدة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ممثلين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تشيكوسلوفاكيا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بولنديون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ترانسيلفانيا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ويوغوسلافيا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ليدعموا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للشعوب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زعماء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ودعوا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إقامة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الليبرالي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باولو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بوسيللي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دانتي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أليغييري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الأحزاب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الاشتراكية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الاشتراكيين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الأوروبيين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الاجتماعية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الاشتراكيين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المتطرفين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الماركسيين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الاشتراكية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بلدانهم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الاشتراكيين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ومعارضتها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بينيتو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موسوليني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وليونايدا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بسولاتي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الاشتراكي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متظاهرين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مناهضين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الإضراب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غابرييل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دانونزيو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روجوا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ايريدينتا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ليدعموا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الاشتراكي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موسوليني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موسوليني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موسوليني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قوميته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Ansaldo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إقناع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الاشتراكيين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والثوريين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المعارضة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بندكت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ونتائجتها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أولوياته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متناقض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بتجاهل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البابوي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بندكت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بندكت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الجنرال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نيكولاي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لوكفيتزكي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المفكرين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شاركوا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فيكتور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وبيرتراند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التجسس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التحريض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فدرالية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للتجنيد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الإدلاء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تصريحات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خائن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المطبوعات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الإيرلندي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الإيرلنديون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عارضوا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أيرلندا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1912،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لاندلاع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أيرلندا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القوميون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والماركسيون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الأيرلنديون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إيرلندا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بلغت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ذروتها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البنادق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إيرلندا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لإثارة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الاضطرابات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إيرلندا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باعتباره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إيرلندا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الرافضين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اشتراكي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المتدينين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الرافضين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ستيفن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هوبهاوس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استثنت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وشاركت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البلشفية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الدبابات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والرشاشات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لمواجهة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واللاسلطويين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قاتلوا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الإيطاليين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بالتساؤل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قتالهم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التجنيد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للتجنيد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نيويورك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1917.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التجنيد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بوردن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الإجبارية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الناطقين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الكنديين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الأغلبية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الإنجليزية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625,000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الكنديين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173,000.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التجنيد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استدعاء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يتمتع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بلياقة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750,000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1,700,000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يتزوجوا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خسرت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أزواجهن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آبائهم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الصغار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مقتولين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انضموا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التمريض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للاعتقاد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إيرلندا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الإيرلندي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فلاندرز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جوتلاند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كوتلاند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للقذائف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إصابته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إصابته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23,000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الصربيين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مقتولين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بمغادرة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والنمساويون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والبلغاريون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الأغلبية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الطقس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ومشقة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المغيرين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المتطوعين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ومتخرجون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فيكتور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سيلفتر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1900،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البندقية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مرعوبين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وصرخ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القذائف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الإرث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الذكرى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ينحتان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التذكاري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بكندا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الفلاندرز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ألكسيس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هيلمر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صديقه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ماكريه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الفلاندرز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لأولئك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ديسمبر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1915،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ولاتزال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يودعن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نيويورك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تايمز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الزائرين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صادفون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الثكالى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أبنائها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تدربوا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وجميعهن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إدوارد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ليوتنز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السوم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بالسماح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للعائلات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أحبائهم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لتدفن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مجتمعاتهم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الجثث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العائلات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وتعاقدت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أبنائهم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واستخراجها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مؤسسات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للعائلات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بالمطالبة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أبنائهم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وإعادتها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لدفنها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مجتمعاتهم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تطلبها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الجثث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مواطنها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الجثث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خياراتها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مسألة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قتلاها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وتلقت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نشئت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رخصة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تذكارية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النصر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المتحاربين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لإحياء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سقطوا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والموسومة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المرغوب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إقامة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تذكاري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تكريمه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أولـئك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المسألة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والفرنسيون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فوضعته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وستمنستر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وتبعتهما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أرلينغتون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والمنظمات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تذكارية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المفقودين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إدوارد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ليوتنز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ثيبفال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هوياتهم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خصصت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لإحياء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2018،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الثقافية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ماكريه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الفلاندرز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سيغفريد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الاجتماعية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الفكتوري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المؤرخ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صموئيل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هاينز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الأبرياء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عقولهم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وإنجلترا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ليجعلوا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جنرالات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أغبياء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أصابتهم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ورأوا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أعدائهم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منازلهم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كذبوا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وأرسلوهم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وفصلوا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ميراثهم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.»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لتتجسد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كقصص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الفنانين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كريستوفر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نيفنسون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للنزاع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المشهورة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للروائي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إرنست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همينغوي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1929.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السينما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هادىء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1930.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1941.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1957.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1962.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الإفريقية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1951.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غاليبولي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1981.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2008.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2011.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2005.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الصراخ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1976.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الاجتماعية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المحاربين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أقدامهم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1923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الاجتماعية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النقاشات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الاجتماعية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تشاركت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التفاؤل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شاركوا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المفقودين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للمعوقين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القتال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باضطراب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منازلهم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والفاشية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أنحاء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المتضررة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هتلر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فرساي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مرادهم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احتفالات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فيلادلفيا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تحظى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بشعبية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المواطنين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الشيوخ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فرساي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والعضوية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الأغلبية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الكونغرس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مستقبلي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60٪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يعتبرون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28%.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بيرل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هاربر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الأغلبية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الاقتصادية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إعلاني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للعاملات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1915.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حينذاك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لإصلاح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واجهت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معقدة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لاستيراد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الاستيراد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معقدة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استنفذت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واضطرها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انخفاض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الاكتفاء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وسياسة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الاكتفاء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1929.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مشترياتها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بالاستثمار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ويلسون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الفيدرالية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بالاقتراض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التعويضات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التعويضات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لأمريكا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وأخذت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كدفتر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لغيابهم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اضطرار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العسكرية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نضالهن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للمطالبة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التصويت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بريطانيا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مستعمراتها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الجيولوجي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إيرنست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كيتسون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الثمينة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مستعمراتها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بأفريقيا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كيتسون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المنغنيز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الذخائر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أغسطس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أصدرت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التصويت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فرساي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مسؤولة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والأضرار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وشركائها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ومواطنيها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لتعويضات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التعديلات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المتضررة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التكاليف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فيلهلم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الامبراطورية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بتمويل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هيلمار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شاخت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التضخم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لتسليمها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كتعويضات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عينية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المتضررة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الاقتصادي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وظيفته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(12.5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تقييم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التعويضات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ستدفعها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والأخشاب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والأصباغ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معاهدة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فرساي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بلجيكا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20.598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كتعويض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هتلر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والقروض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وأخرجت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عقدي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أندلمان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والاتفاق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استئناف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للأموال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المقترضة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اتفاقية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1953.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أكتوبر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كنديون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ريدج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قذائف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الاستيلاء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لأقنعة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1916.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القذائف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قاذف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مدفعية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القذيفة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الإمبراطور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فيلهلم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العثماني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بولندا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الكندية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فليرز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كورسيليت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1916.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كنديون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1917.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(1915-1916).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الإنفلونزا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الإسبانية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العاصمة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واشنطن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الولايات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1918-1919.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1919.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يعالجون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بفرنسا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1917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أنقاض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قاذفة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قنابل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هوراتز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سبتمبر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1916.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فرنسيان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يرحبان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بجنديين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أمريكيين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1918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1916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تسينغتاو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نوفمبر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1914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وسائط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ogv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ogv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البريطانية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الميلاد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ميسينز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السوداء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كارة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المراجع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