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>
      <w:pPr>
        <w:spacing w:line="200" w:lineRule="atLeast"/>
        <w:jc w:val="center"/>
        <w:rPr>
          <w:rFonts w:ascii="Arial" w:hAnsi="Arial" w:cs="Arial"/>
          <w:b/>
          <w:bCs/>
          <w:color w:val="000000" w:themeColor="text1" w:themeShade="80"/>
          <w:u w:val="single"/>
        </w:rPr>
      </w:pPr>
      <w:r>
        <w:rPr>
          <w:rFonts w:ascii="Arial" w:hAnsi="Arial" w:cs="Arial"/>
          <w:b/>
          <w:bCs/>
          <w:color w:val="000000" w:themeColor="text1" w:themeShade="80"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9"/>
        <w:tblW w:w="96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9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Curso: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Disciplina: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</w:t>
                </w:r>
                <w:r>
                  <w:rPr>
                    <w:rFonts w:hint="default" w:ascii="Arial" w:hAnsi="Arial" w:cs="Arial"/>
                    <w:bCs/>
                    <w:color w:val="000000" w:themeColor="text1" w:themeShade="80"/>
                    <w:lang w:val="pt"/>
                  </w:rPr>
                  <w:t>Física para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Carga horária semestral: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64</w:t>
                </w:r>
              </w:sdtContent>
            </w:sdt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Teórica: 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color w:val="000000" w:themeColor="text1" w:themeShade="80"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 Prática: 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color w:val="000000" w:themeColor="text1" w:themeShade="80"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Semestre/ano: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2019.</w:t>
                </w:r>
                <w:r>
                  <w:rPr>
                    <w:rFonts w:hint="default" w:ascii="Arial" w:hAnsi="Arial" w:cs="Arial"/>
                    <w:bCs/>
                    <w:color w:val="000000" w:themeColor="text1" w:themeShade="80"/>
                    <w:lang w:val="pt"/>
                  </w:rPr>
                  <w:t>2</w:t>
                </w:r>
              </w:sdtContent>
            </w:sdt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Turma/turno: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 A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>Professor (a):</w:t>
            </w:r>
            <w:sdt>
              <w:sdtPr>
                <w:rPr>
                  <w:color w:val="000000" w:themeColor="text1" w:themeShade="80"/>
                </w:rPr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II. Ementa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br w:type="textWrapping"/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 xml:space="preserve">Medição e grandezas 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físicas. Movimento em uma dimensão. Movimento em um plano.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Dinâmica da partícula. Trabalho e energia. Conservação da energia. Colisões. Equilíbrio de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corpos rígidos. Hidrostática e hidrodinâmica.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 xml:space="preserve"> Implementação algorítmica dos conceitos.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III. Objetivos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III (a) - Objetivo geral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</w:rPr>
              <w:t>A disciplina visa dar ao aluno uma visão teórica básica sobre cinemática, dinâmica,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  <w:lang w:val="pt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</w:rPr>
              <w:t>hidrostática e hidrodinâmica bem como suas aplicações, além de desenvolver a intuição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  <w:lang w:val="pt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</w:rPr>
              <w:t>física e a habilidade do estudante para modelar e resolver problemas voltados para a sua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  <w:lang w:val="pt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 w:themeShade="80"/>
              </w:rPr>
              <w:t>formação.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III (b) - Objetivos específicos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 xml:space="preserve">- 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Estudar os conceitos da disciplina aplicados ao desenvolvimento de software;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- Construir algoritmos que simulem os conceitos físicos abordados na disciplina;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- Discutir contribuições científicas da Física para a Computação.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IV. Conteúdo Programático e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IV (a) – Conteúdo Programático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1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 xml:space="preserve">. 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MEDIÇÃO E GRANDEZAS FÍSICAS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a. Medidas físicas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 xml:space="preserve">b. 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Grandezas e Unidades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c. Conversão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2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. MOVIMENTOS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a. Movimento em uma dimensão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b. Movimento em um plano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c. Dinâmica da partícula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3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. TRABALHO E ENERGIA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a. Conceitos iniciais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b. Conservação da energia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c. Conservação do momento linear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4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. COLISÕES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a. Colisões em uma dimensão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b. Colisões em um plano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5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. HIDROSTÁTICA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a. Hidrostática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b. Hidrodinâmica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</w:p>
          <w:p>
            <w:pPr>
              <w:numPr>
                <w:ilvl w:val="0"/>
                <w:numId w:val="1"/>
              </w:num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TECNOLOGIAS BÁSICAS</w:t>
            </w:r>
          </w:p>
          <w:p>
            <w:pPr>
              <w:numPr>
                <w:ilvl w:val="0"/>
                <w:numId w:val="2"/>
              </w:num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Conceitos básicos em HTML</w:t>
            </w:r>
          </w:p>
          <w:p>
            <w:pPr>
              <w:numPr>
                <w:ilvl w:val="0"/>
                <w:numId w:val="2"/>
              </w:num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Conceitos básicos em CSS</w:t>
            </w:r>
          </w:p>
          <w:p>
            <w:pPr>
              <w:numPr>
                <w:ilvl w:val="0"/>
                <w:numId w:val="2"/>
              </w:num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Conceitos básicos em JavaScript</w:t>
            </w:r>
          </w:p>
          <w:p>
            <w:pPr>
              <w:numPr>
                <w:ilvl w:val="0"/>
                <w:numId w:val="0"/>
              </w:num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</w:p>
          <w:p>
            <w:pPr>
              <w:numPr>
                <w:ilvl w:val="0"/>
                <w:numId w:val="1"/>
              </w:numPr>
              <w:spacing w:line="200" w:lineRule="atLeast"/>
              <w:ind w:left="0" w:leftChars="0" w:firstLine="0" w:firstLineChars="0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PROJETO DE ANIMAÇÃO</w:t>
            </w:r>
          </w:p>
          <w:p>
            <w:pPr>
              <w:numPr>
                <w:ilvl w:val="0"/>
                <w:numId w:val="3"/>
              </w:numPr>
              <w:spacing w:line="200" w:lineRule="atLeast"/>
              <w:ind w:leftChars="0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unidimensional</w:t>
            </w:r>
          </w:p>
          <w:p>
            <w:pPr>
              <w:numPr>
                <w:ilvl w:val="0"/>
                <w:numId w:val="3"/>
              </w:numPr>
              <w:spacing w:line="200" w:lineRule="atLeast"/>
              <w:ind w:leftChars="0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bidimensional</w:t>
            </w:r>
          </w:p>
          <w:p>
            <w:pPr>
              <w:numPr>
                <w:ilvl w:val="0"/>
                <w:numId w:val="3"/>
              </w:numPr>
              <w:spacing w:line="200" w:lineRule="atLeast"/>
              <w:ind w:leftChars="0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com colisões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8</w:t>
            </w: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>. OUTROS TÓPICOS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 xml:space="preserve">a. 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com colisões inelásticas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 xml:space="preserve">b. 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de objetos em fluidos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color w:val="000000" w:themeColor="text1" w:themeShade="80"/>
              </w:rPr>
              <w:t xml:space="preserve">c. </w:t>
            </w:r>
            <w:r>
              <w:rPr>
                <w:rFonts w:hint="default" w:ascii="Arial" w:hAnsi="Arial" w:cs="Arial"/>
                <w:bCs/>
                <w:color w:val="000000" w:themeColor="text1" w:themeShade="80"/>
                <w:lang w:val="pt"/>
              </w:rPr>
              <w:t>Animação de objetos em campos (elétrico, magnético, etc.)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IV (b) –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i/>
                <w:color w:val="000000" w:themeColor="text1" w:themeShade="80"/>
                <w:lang w:val="pt"/>
              </w:rPr>
            </w:pPr>
            <w:r>
              <w:rPr>
                <w:rFonts w:hint="default" w:ascii="Arial" w:hAnsi="Arial" w:cs="Arial"/>
                <w:bCs/>
                <w:i w:val="0"/>
                <w:iCs/>
                <w:color w:val="000000" w:themeColor="text1" w:themeShade="80"/>
                <w:lang w:val="pt"/>
              </w:rPr>
              <w:t>Vide cronograma em anexo.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V. Metodologia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Utilização de quadro negro (ou branco) e DataShow;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Atendimento individual ou em grupos;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Aplicação de listas de exercícios;</w:t>
            </w:r>
          </w:p>
          <w:p>
            <w:pPr>
              <w:spacing w:line="200" w:lineRule="atLeast"/>
              <w:jc w:val="both"/>
              <w:rPr>
                <w:rFonts w:hint="default" w:ascii="Arial" w:hAnsi="Arial" w:cs="Arial"/>
                <w:bCs/>
                <w:lang w:val="pt"/>
              </w:rPr>
            </w:pPr>
            <w:r>
              <w:rPr>
                <w:rFonts w:hint="default" w:ascii="Arial" w:hAnsi="Arial" w:cs="Arial"/>
                <w:bCs/>
                <w:lang w:val="pt"/>
              </w:rPr>
              <w:t>- Aplicação de Questionários, Testes e Provas;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Aplicação de atividades utilizando Ambiente Virtual de Aprendizagem (AVA);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Tempo de Aula: 50 minutos*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</w:rPr>
              <w:t>*Obs.: Para complementar os 10 minutos, esta disciplina fará uso e ferramentas online (e.g AVA) para atividades supervisionadas (ver Seção VI), em consonância com o Art. 2º da Resolução CNE/CES nº 3 de 02 de julho de 2007, com o Art 2º da Resolução CEPEC nº 1308 de 05 de setembro de 2014, e com o Art. 16º do Regulamento Geral dos Cursos de Graduação (RGCG), anexo à Resolução CEPEC 1557 de 01 de dezembro de 2017.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VI. Atividades Supervisionadas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As atividades supervisionadas serão realizadas utilizando o AVA. Problematizações sobre os tópicos da disciplina e orientações de resoluções de exercícios serão as principais atividades propostas. 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VII. Processos, Critérios de avaliação e Cronograma de Avaliações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i/>
                <w:kern w:val="1"/>
              </w:rPr>
            </w:pPr>
            <w:r>
              <w:rPr>
                <w:rFonts w:ascii="Arial" w:hAnsi="Arial" w:cs="Arial"/>
                <w:bCs/>
                <w:i/>
                <w:kern w:val="1"/>
              </w:rPr>
              <w:t>VII (a) – Processos e Critérios de Avaliação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Serão ministrados 04 (quatro) mini-testes que serão analisados da seguinte forma: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Primeiro mini-teste (MT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1</w:t>
            </w:r>
            <w:r>
              <w:rPr>
                <w:rFonts w:ascii="Arial" w:hAnsi="Arial" w:cs="Arial"/>
                <w:bCs/>
                <w:kern w:val="1"/>
              </w:rPr>
              <w:t>) equivale a 20% da pontuação total;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Segundo mini-teste (MT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2</w:t>
            </w:r>
            <w:r>
              <w:rPr>
                <w:rFonts w:ascii="Arial" w:hAnsi="Arial" w:cs="Arial"/>
                <w:bCs/>
                <w:kern w:val="1"/>
              </w:rPr>
              <w:t>) equivale a 20% da pontuação total;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Terceiro mini-teste (MT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3</w:t>
            </w:r>
            <w:r>
              <w:rPr>
                <w:rFonts w:ascii="Arial" w:hAnsi="Arial" w:cs="Arial"/>
                <w:bCs/>
                <w:kern w:val="1"/>
              </w:rPr>
              <w:t>) equivale a 20% da pontuação total;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Quarto mini-teste (MT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4</w:t>
            </w:r>
            <w:r>
              <w:rPr>
                <w:rFonts w:ascii="Arial" w:hAnsi="Arial" w:cs="Arial"/>
                <w:bCs/>
                <w:kern w:val="1"/>
              </w:rPr>
              <w:t>) equivale a 20% da pontuação total.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Será ministrada 01 (uma) prova final (PF) que será analisada da seguinte forma: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Prova equivale a 20% da pontuação total.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A PF é composta por duas etapas: a PF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1</w:t>
            </w:r>
            <w:r>
              <w:rPr>
                <w:rFonts w:ascii="Arial" w:hAnsi="Arial" w:cs="Arial"/>
                <w:bCs/>
                <w:kern w:val="1"/>
              </w:rPr>
              <w:t xml:space="preserve"> e a PF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2</w:t>
            </w:r>
            <w:r>
              <w:rPr>
                <w:rFonts w:ascii="Arial" w:hAnsi="Arial" w:cs="Arial"/>
                <w:bCs/>
                <w:kern w:val="1"/>
              </w:rPr>
              <w:t xml:space="preserve">. 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 xml:space="preserve">A PF1 é composta por dois mini-testes de caráter substitutivo: 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o SMT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1</w:t>
            </w:r>
            <w:r>
              <w:rPr>
                <w:rFonts w:ascii="Arial" w:hAnsi="Arial" w:cs="Arial"/>
                <w:bCs/>
                <w:kern w:val="1"/>
              </w:rPr>
              <w:t xml:space="preserve"> (referente ao 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1</w:t>
            </w:r>
            <w:r>
              <w:rPr>
                <w:rFonts w:ascii="Arial" w:hAnsi="Arial" w:cs="Arial"/>
                <w:bCs/>
                <w:kern w:val="1"/>
              </w:rPr>
              <w:t xml:space="preserve">), e 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o SMT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2</w:t>
            </w:r>
            <w:r>
              <w:rPr>
                <w:rFonts w:ascii="Arial" w:hAnsi="Arial" w:cs="Arial"/>
                <w:bCs/>
                <w:kern w:val="1"/>
              </w:rPr>
              <w:t xml:space="preserve"> (referente ao 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2</w:t>
            </w:r>
            <w:r>
              <w:rPr>
                <w:rFonts w:ascii="Arial" w:hAnsi="Arial" w:cs="Arial"/>
                <w:bCs/>
                <w:kern w:val="1"/>
              </w:rPr>
              <w:t>).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Por sua vez, a PF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2</w:t>
            </w:r>
            <w:r>
              <w:rPr>
                <w:rFonts w:ascii="Arial" w:hAnsi="Arial" w:cs="Arial"/>
                <w:bCs/>
                <w:kern w:val="1"/>
              </w:rPr>
              <w:t xml:space="preserve"> é composta pelos outros dois mini-testes também de caráter substitutivo: 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o SMT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3</w:t>
            </w:r>
            <w:r>
              <w:rPr>
                <w:rFonts w:ascii="Arial" w:hAnsi="Arial" w:cs="Arial"/>
                <w:bCs/>
                <w:kern w:val="1"/>
              </w:rPr>
              <w:t xml:space="preserve"> (referente ao 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3</w:t>
            </w:r>
            <w:r>
              <w:rPr>
                <w:rFonts w:ascii="Arial" w:hAnsi="Arial" w:cs="Arial"/>
                <w:bCs/>
                <w:kern w:val="1"/>
              </w:rPr>
              <w:t xml:space="preserve">), e 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- o SMT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4</w:t>
            </w:r>
            <w:r>
              <w:rPr>
                <w:rFonts w:ascii="Arial" w:hAnsi="Arial" w:cs="Arial"/>
                <w:bCs/>
                <w:kern w:val="1"/>
              </w:rPr>
              <w:t xml:space="preserve"> (referente ao MT</w:t>
            </w:r>
            <w:r>
              <w:rPr>
                <w:rFonts w:ascii="Arial" w:hAnsi="Arial" w:cs="Arial"/>
                <w:bCs/>
                <w:kern w:val="1"/>
                <w:vertAlign w:val="subscript"/>
              </w:rPr>
              <w:t>4</w:t>
            </w:r>
            <w:r>
              <w:rPr>
                <w:rFonts w:ascii="Arial" w:hAnsi="Arial" w:cs="Arial"/>
                <w:bCs/>
                <w:kern w:val="1"/>
              </w:rPr>
              <w:t>).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 xml:space="preserve">Durante a disciplina, </w:t>
            </w:r>
            <w:r>
              <w:rPr>
                <w:rFonts w:hint="default" w:ascii="Arial" w:hAnsi="Arial" w:cs="Arial"/>
                <w:bCs/>
                <w:kern w:val="1"/>
                <w:lang w:val="pt"/>
              </w:rPr>
              <w:t xml:space="preserve">poderão ser aplicados </w:t>
            </w:r>
            <w:r>
              <w:rPr>
                <w:rFonts w:ascii="Arial" w:hAnsi="Arial" w:cs="Arial"/>
                <w:bCs/>
                <w:kern w:val="1"/>
              </w:rPr>
              <w:t xml:space="preserve">alguns Exercícios-Bônus (EB) </w:t>
            </w:r>
            <w:r>
              <w:rPr>
                <w:rFonts w:hint="default" w:ascii="Arial" w:hAnsi="Arial" w:cs="Arial"/>
                <w:bCs/>
                <w:kern w:val="1"/>
                <w:lang w:val="pt"/>
              </w:rPr>
              <w:t xml:space="preserve">que </w:t>
            </w:r>
            <w:r>
              <w:rPr>
                <w:rFonts w:ascii="Arial" w:hAnsi="Arial" w:cs="Arial"/>
                <w:bCs/>
                <w:kern w:val="1"/>
              </w:rPr>
              <w:t>serão propostos para os alunos</w:t>
            </w:r>
            <w:r>
              <w:rPr>
                <w:rFonts w:hint="default" w:ascii="Arial" w:hAnsi="Arial" w:cs="Arial"/>
                <w:bCs/>
                <w:kern w:val="1"/>
                <w:lang w:val="pt"/>
              </w:rPr>
              <w:t xml:space="preserve"> individualmente</w:t>
            </w:r>
            <w:r>
              <w:rPr>
                <w:rFonts w:ascii="Arial" w:hAnsi="Arial" w:cs="Arial"/>
                <w:bCs/>
                <w:kern w:val="1"/>
              </w:rPr>
              <w:t>.</w: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O cálculo da média final será dada da seguinte forma:</w:t>
            </w:r>
          </w:p>
          <w:p>
            <w:pPr>
              <w:bidi w:val="0"/>
              <w:spacing w:before="0" w:line="200" w:lineRule="atLeast"/>
              <w:jc w:val="center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  <w:position w:val="-10"/>
              </w:rPr>
              <w:object>
                <v:shape id="_x0000_i1025" o:spt="75" type="#_x0000_t75" style="height:21.15pt;width:149.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bidi w:val="0"/>
              <w:spacing w:before="0" w:line="200" w:lineRule="atLeast"/>
              <w:jc w:val="both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</w:rPr>
              <w:t>em que MIN representa o mínimo entre dois valores e PONT representa a pontuação total obtida em toda a disciplina, dada da seguinte forma:</w:t>
            </w:r>
          </w:p>
          <w:p>
            <w:pPr>
              <w:bidi w:val="0"/>
              <w:spacing w:before="0" w:line="200" w:lineRule="atLeast"/>
              <w:jc w:val="center"/>
              <w:rPr>
                <w:rFonts w:ascii="Arial" w:hAnsi="Arial" w:cs="Arial"/>
                <w:bCs/>
                <w:kern w:val="1"/>
              </w:rPr>
            </w:pPr>
            <w:r>
              <w:rPr>
                <w:rFonts w:ascii="Arial" w:hAnsi="Arial" w:cs="Arial"/>
                <w:bCs/>
                <w:kern w:val="1"/>
                <w:position w:val="-30"/>
              </w:rPr>
              <w:object>
                <v:shape id="_x0000_i1027" o:spt="75" alt="" type="#_x0000_t75" style="height:45.9pt;width:292.35pt;" o:ole="t" filled="f" o:preferrelative="t" stroked="f" coordsize="21600,21600">
                  <v:path/>
                  <v:fill on="f" focussize="0,0"/>
                  <v:stroke on="f"/>
                  <v:imagedata r:id="rId9" cropright="7371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6" r:id="rId8">
                  <o:LockedField>false</o:LockedField>
                </o:OLEObject>
              </w:object>
            </w:r>
          </w:p>
          <w:p>
            <w:pPr>
              <w:bidi w:val="0"/>
              <w:spacing w:before="0" w:line="200" w:lineRule="atLeast"/>
              <w:jc w:val="center"/>
              <w:rPr>
                <w:rFonts w:ascii="Arial" w:hAnsi="Arial" w:cs="Arial"/>
                <w:bCs/>
                <w:kern w:val="1"/>
              </w:rPr>
            </w:pPr>
          </w:p>
          <w:p>
            <w:pPr>
              <w:bidi w:val="0"/>
              <w:spacing w:before="0" w:line="200" w:lineRule="atLeast"/>
              <w:jc w:val="left"/>
              <w:rPr>
                <w:rFonts w:ascii="Arial" w:hAnsi="Arial" w:cs="Arial"/>
                <w:bCs/>
                <w:i/>
                <w:kern w:val="1"/>
              </w:rPr>
            </w:pPr>
            <w:r>
              <w:rPr>
                <w:rFonts w:ascii="Arial" w:hAnsi="Arial" w:cs="Arial"/>
                <w:bCs/>
                <w:i/>
                <w:kern w:val="1"/>
              </w:rPr>
              <w:t>VII (b) – Cronograma de Avaliações</w:t>
            </w:r>
          </w:p>
          <w:p>
            <w:pPr>
              <w:bidi w:val="0"/>
              <w:spacing w:before="0" w:line="200" w:lineRule="atLeast"/>
              <w:jc w:val="left"/>
              <w:rPr>
                <w:rFonts w:ascii="Arial" w:hAnsi="Arial" w:cs="Arial"/>
                <w:bCs/>
                <w:i/>
                <w:kern w:val="1"/>
              </w:rPr>
            </w:pPr>
          </w:p>
          <w:p>
            <w:pPr>
              <w:bidi w:val="0"/>
              <w:spacing w:before="0" w:line="200" w:lineRule="atLeast"/>
              <w:jc w:val="left"/>
              <w:rPr>
                <w:rFonts w:hint="default" w:ascii="Arial" w:hAnsi="Arial" w:cs="Arial"/>
                <w:bCs/>
                <w:kern w:val="1"/>
                <w:lang w:val="pt"/>
              </w:rPr>
            </w:pPr>
            <w:r>
              <w:rPr>
                <w:rFonts w:hint="default" w:ascii="Arial" w:hAnsi="Arial" w:cs="Arial"/>
                <w:bCs/>
                <w:kern w:val="1"/>
                <w:lang w:val="pt"/>
              </w:rPr>
              <w:t>Vide cronograma anexo.</w:t>
            </w:r>
          </w:p>
          <w:p>
            <w:pPr>
              <w:bidi w:val="0"/>
              <w:spacing w:before="0" w:line="200" w:lineRule="atLeast"/>
              <w:jc w:val="left"/>
              <w:rPr>
                <w:rFonts w:hint="default" w:ascii="Arial" w:hAnsi="Arial" w:cs="Arial"/>
                <w:bCs/>
                <w:kern w:val="1"/>
                <w:lang w:val="pt"/>
              </w:rPr>
            </w:pPr>
          </w:p>
          <w:p>
            <w:pPr>
              <w:bidi w:val="0"/>
              <w:spacing w:before="0" w:line="200" w:lineRule="atLeast"/>
              <w:jc w:val="left"/>
              <w:rPr>
                <w:rFonts w:ascii="Arial" w:hAnsi="Arial" w:cs="Arial"/>
                <w:bCs/>
                <w:i/>
                <w:kern w:val="1"/>
              </w:rPr>
            </w:pPr>
            <w:r>
              <w:rPr>
                <w:rFonts w:ascii="Arial" w:hAnsi="Arial" w:cs="Arial"/>
                <w:bCs/>
                <w:i/>
                <w:kern w:val="1"/>
              </w:rPr>
              <w:t>VII (c) – Local de divulgação dos resultados das avaliações</w:t>
            </w:r>
          </w:p>
          <w:p>
            <w:pPr>
              <w:bidi w:val="0"/>
              <w:spacing w:before="0" w:line="200" w:lineRule="atLeast"/>
              <w:jc w:val="left"/>
              <w:rPr>
                <w:rFonts w:ascii="Arial" w:hAnsi="Arial" w:cs="Arial"/>
                <w:bCs/>
                <w:kern w:val="1"/>
              </w:rPr>
            </w:pPr>
          </w:p>
          <w:p>
            <w:pPr>
              <w:spacing w:line="200" w:lineRule="atLeast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kern w:val="1"/>
              </w:rPr>
              <w:t>Os resultados das avaliações serão divulgados através do SIGAA e/ou ferramentas online</w:t>
            </w:r>
            <w:r>
              <w:rPr>
                <w:rFonts w:hint="default" w:ascii="Arial" w:hAnsi="Arial" w:cs="Arial"/>
                <w:bCs/>
                <w:kern w:val="1"/>
                <w:lang w:val="pt"/>
              </w:rPr>
              <w:t>.</w:t>
            </w:r>
          </w:p>
        </w:tc>
      </w:tr>
    </w:tbl>
    <w:p/>
    <w:tbl>
      <w:tblPr>
        <w:tblStyle w:val="9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VIII. Referências Bibliográficas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VIII (a) – Referências básicas</w:t>
            </w:r>
          </w:p>
          <w:p>
            <w:pPr>
              <w:spacing w:line="200" w:lineRule="atLeast"/>
              <w:rPr>
                <w:rFonts w:ascii="Arial" w:hAnsi="Arial" w:cs="Arial"/>
                <w:bCs/>
                <w:color w:val="000000" w:themeColor="text1" w:themeShade="80"/>
                <w:lang w:val="en-US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HALLIDAY, D.; RESNICK, R.; KRANE, K. Física v1, 4ª Edição, LTC, Rio de Janeiro, 2003.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TIPLER, P. A.; MOSTA, G. Física para cientistas e engenheiros. Vol. 1, Ed. LTC, Rio de Janeiro, 2003.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YOUNG, H. D.; FREEDMAN, A.; SEARS, F.; ZEMANSK, M. W. Física 1. Ed. Addison Wesley, São Paulo, 2008.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lang w:val="en-US"/>
              </w:rPr>
            </w:pPr>
          </w:p>
          <w:p>
            <w:pPr>
              <w:spacing w:line="200" w:lineRule="atLeast"/>
              <w:rPr>
                <w:rFonts w:ascii="Arial" w:hAnsi="Arial" w:cs="Arial"/>
                <w:bCs/>
                <w:i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i/>
                <w:color w:val="000000" w:themeColor="text1" w:themeShade="80"/>
              </w:rPr>
              <w:t>VIII (b) – Referências complementares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ALONSO, M.; FINN, E. Física: um curso universitário. Vol. 1, 2ª Edição, Edgard Blucher, São Paulo, 2002.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CHAVES, A.; SAMPAIO, J. L. Física básica: mecânica. Vol. 1, LTC, Rio de Janeiro, 2007.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NUSSENZVEIG, H.; MOYSÉS, H. Curso de física básica. Vol. 1, Edgar Blucher, São Paulo, 2002.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CUTNELL, J. D.; JOHNSON, K. W. Física. </w:t>
            </w:r>
            <w:r>
              <w:rPr>
                <w:rFonts w:ascii="Arial" w:hAnsi="Arial" w:cs="Arial"/>
                <w:bCs/>
              </w:rPr>
              <w:t>Vol. 1, LTC, Rio de Janeiro, 2006.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 xml:space="preserve">TIPLER, P. A. Física. Vol. 1 e Vol. 2. </w:t>
            </w:r>
            <w:r>
              <w:rPr>
                <w:rFonts w:ascii="Arial" w:hAnsi="Arial" w:cs="Arial"/>
                <w:bCs/>
                <w:lang w:val="en-US"/>
              </w:rPr>
              <w:t>Guanabara 2, Rio de Janeiro, 1984.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lang w:val="en-US"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RAMTAL, D.; DOBRE, A. Physics for JavaScript Games, Animation, and Simulations with HTML5 Canvas, Apress, 2014.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  <w:color w:val="000000" w:themeColor="text1" w:themeShade="80"/>
              </w:rPr>
            </w:pPr>
          </w:p>
        </w:tc>
      </w:tr>
    </w:tbl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>
      <w:pPr>
        <w:spacing w:line="200" w:lineRule="atLeast"/>
        <w:rPr>
          <w:rFonts w:ascii="Arial" w:hAnsi="Arial" w:cs="Arial"/>
          <w:b/>
          <w:bCs/>
        </w:rPr>
      </w:pPr>
    </w:p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10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1" w:type="dxa"/>
            <w:shd w:val="clear" w:color="auto" w:fill="auto"/>
          </w:tcPr>
          <w:p>
            <w:pPr>
              <w:spacing w:before="0" w:after="0" w:line="200" w:lineRule="atLeast"/>
              <w:jc w:val="center"/>
              <w:rPr>
                <w:rFonts w:ascii="Arial" w:hAnsi="Arial" w:cs="Arial"/>
                <w:b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80"/>
              </w:rPr>
              <w:t>Data</w:t>
            </w:r>
          </w:p>
        </w:tc>
        <w:tc>
          <w:tcPr>
            <w:tcW w:w="8256" w:type="dxa"/>
            <w:shd w:val="clear" w:color="auto" w:fill="auto"/>
          </w:tcPr>
          <w:p>
            <w:pPr>
              <w:spacing w:before="0" w:after="0" w:line="200" w:lineRule="atLeast"/>
              <w:rPr>
                <w:rFonts w:ascii="Arial" w:hAnsi="Arial" w:cs="Arial"/>
                <w:bCs/>
                <w:color w:val="000000" w:themeColor="text1" w:themeShade="80"/>
              </w:rPr>
            </w:pPr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Jataí, </w:t>
            </w:r>
            <w:sdt>
              <w:sdtPr>
                <w:rPr>
                  <w:color w:val="000000" w:themeColor="text1" w:themeShade="80"/>
                </w:rPr>
                <w:alias w:val="Digite o dia."/>
                <w:id w:val="0"/>
                <w:text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hint="default"/>
                    <w:color w:val="000000" w:themeColor="text1" w:themeShade="80"/>
                    <w:lang w:val="pt"/>
                  </w:rPr>
                  <w:t>30</w:t>
                </w:r>
              </w:sdtContent>
            </w:sdt>
            <w:r>
              <w:rPr>
                <w:rFonts w:ascii="Arial" w:hAnsi="Arial" w:cs="Arial"/>
                <w:bCs/>
                <w:color w:val="000000" w:themeColor="text1" w:themeShade="80"/>
              </w:rPr>
              <w:t xml:space="preserve"> de </w:t>
            </w:r>
            <w:sdt>
              <w:sdtPr>
                <w:rPr>
                  <w:color w:val="000000" w:themeColor="text1" w:themeShade="80"/>
                </w:rPr>
                <w:id w:val="0"/>
                <w:dropDownList>
                  <w:listItem w:displayText="Escolha o ano"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dropDownList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Times New Roman" w:hAnsi="Times New Roman" w:eastAsia="Lucida Sans Unicode" w:cs="Times New Roman"/>
                    <w:color w:val="000000" w:themeColor="text1" w:themeShade="80"/>
                    <w:kern w:val="2"/>
                    <w:sz w:val="24"/>
                    <w:szCs w:val="24"/>
                    <w:lang w:val="pt-BR" w:eastAsia="en-US" w:bidi="ar-SA"/>
                  </w:rPr>
                  <w:t>agosto</w:t>
                </w:r>
              </w:sdtContent>
            </w:sdt>
            <w:sdt>
              <w:sdtPr>
                <w:rPr>
                  <w:color w:val="000000" w:themeColor="text1" w:themeShade="80"/>
                </w:rPr>
                <w:id w:val="204098765"/>
              </w:sdtPr>
              <w:sdtEndPr>
                <w:rPr>
                  <w:color w:val="000000" w:themeColor="text1" w:themeShade="80"/>
                </w:rPr>
              </w:sdtEndPr>
              <w:sdtContent>
                <w:r>
                  <w:rPr>
                    <w:rFonts w:ascii="Arial" w:hAnsi="Arial" w:cs="Arial"/>
                    <w:bCs/>
                    <w:color w:val="000000" w:themeColor="text1" w:themeShade="80"/>
                  </w:rPr>
                  <w:t xml:space="preserve"> de 2019</w:t>
                </w:r>
              </w:sdtContent>
            </w:sdt>
            <w:r>
              <w:rPr>
                <w:rFonts w:ascii="Arial" w:hAnsi="Arial" w:cs="Arial"/>
                <w:bCs/>
                <w:color w:val="000000" w:themeColor="text1" w:themeShade="80"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1915160</wp:posOffset>
            </wp:positionH>
            <wp:positionV relativeFrom="paragraph">
              <wp:posOffset>142240</wp:posOffset>
            </wp:positionV>
            <wp:extent cx="2019300" cy="1208405"/>
            <wp:effectExtent l="0" t="0" r="0" b="0"/>
            <wp:wrapNone/>
            <wp:docPr id="3" name="Imagem 0" descr="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0" descr="img004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  <w:color w:val="000000" w:themeColor="text1" w:themeShade="80"/>
        </w:rPr>
      </w:pPr>
      <w:r>
        <w:rPr>
          <w:rFonts w:ascii="Arial" w:hAnsi="Arial" w:cs="Arial"/>
          <w:b/>
          <w:bCs/>
          <w:color w:val="000000" w:themeColor="text1" w:themeShade="80"/>
        </w:rPr>
        <w:t>___________________________</w:t>
      </w:r>
    </w:p>
    <w:sdt>
      <w:sdtPr>
        <w:rPr>
          <w:color w:val="000000" w:themeColor="text1" w:themeShade="80"/>
        </w:rPr>
        <w:id w:val="1083661553"/>
        <w:text/>
      </w:sdtPr>
      <w:sdtEndPr>
        <w:rPr>
          <w:color w:val="000000" w:themeColor="text1" w:themeShade="80"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  <w:color w:val="000000" w:themeColor="text1" w:themeShade="80"/>
            </w:rPr>
          </w:pPr>
          <w:r>
            <w:rPr>
              <w:rFonts w:ascii="Arial" w:hAnsi="Arial" w:cs="Arial"/>
              <w:bCs/>
              <w:color w:val="000000" w:themeColor="text1" w:themeShade="80"/>
            </w:rPr>
            <w:t>Esdras Lins Bispo Junior</w:t>
          </w:r>
        </w:p>
      </w:sdtContent>
    </w:sdt>
    <w:p>
      <w:pPr>
        <w:spacing w:line="200" w:lineRule="atLeast"/>
        <w:jc w:val="center"/>
        <w:rPr>
          <w:rFonts w:ascii="Arial" w:hAnsi="Arial" w:cs="Arial"/>
          <w:bCs/>
          <w:color w:val="000000" w:themeColor="text1" w:themeShade="80"/>
        </w:rPr>
      </w:pPr>
      <w:r>
        <w:rPr>
          <w:rFonts w:ascii="Arial" w:hAnsi="Arial" w:cs="Arial"/>
          <w:bCs/>
          <w:color w:val="000000" w:themeColor="text1" w:themeShade="80"/>
        </w:rPr>
        <w:t>Professor Adjunto – Ciência da Computação</w:t>
      </w:r>
    </w:p>
    <w:p>
      <w:pPr>
        <w:spacing w:line="200" w:lineRule="atLeast"/>
        <w:jc w:val="center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graduacaojatai@gmail.com</w:t>
    </w:r>
  </w:p>
  <w:p>
    <w:pPr>
      <w:jc w:val="center"/>
      <w:rPr>
        <w:rFonts w:ascii="Arial" w:hAnsi="Arial" w:cs="Arial"/>
        <w:spacing w:val="-20"/>
        <w:sz w:val="18"/>
        <w:szCs w:val="16"/>
      </w:rPr>
    </w:pPr>
    <w:r>
      <w:rPr>
        <w:rFonts w:ascii="Arial" w:hAnsi="Arial" w:cs="Arial"/>
        <w:spacing w:val="-20"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www.jatai.ufg.br</w:t>
    </w:r>
  </w:p>
  <w:p>
    <w:pPr>
      <w:pStyle w:val="5"/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\* ARABIC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6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NUMPAGES \* ARABIC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6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sz w:val="4"/>
      </w:rPr>
    </w:pPr>
    <w:r>
      <w:drawing>
        <wp:inline distT="0" distB="0" distL="19050" distR="9525">
          <wp:extent cx="809625" cy="78105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0" simplePos="0" relativeHeight="1024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1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COGR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68788"/>
                  <a:stretch>
                    <a:fillRect/>
                  </a:stretch>
                </pic:blipFill>
                <pic:spPr>
                  <a:xfrm>
                    <a:off x="0" y="0"/>
                    <a:ext cx="70294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7"/>
      <w:rPr>
        <w:sz w:val="4"/>
      </w:rPr>
    </w:pPr>
  </w:p>
  <w:p>
    <w:pPr>
      <w:pStyle w:val="18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9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JATAÍ</w:t>
    </w:r>
  </w:p>
  <w:p>
    <w:pPr>
      <w:pStyle w:val="19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EB954"/>
    <w:multiLevelType w:val="singleLevel"/>
    <w:tmpl w:val="DBFEB95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F7EEC34"/>
    <w:multiLevelType w:val="singleLevel"/>
    <w:tmpl w:val="5F7EEC3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6EDFB23C"/>
    <w:multiLevelType w:val="singleLevel"/>
    <w:tmpl w:val="6EDFB23C"/>
    <w:lvl w:ilvl="0" w:tentative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 w:val="0"/>
  <w:bordersDoNotSurroundFooter w:val="0"/>
  <w:documentProtection w:edit="trackedChanges"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FEEB123"/>
    <w:rsid w:val="56FD30C9"/>
    <w:rsid w:val="6E735EDA"/>
    <w:rsid w:val="770FFE45"/>
    <w:rsid w:val="7BCBC70D"/>
    <w:rsid w:val="7FF5F7B9"/>
    <w:rsid w:val="A7FF0BCE"/>
    <w:rsid w:val="DFCF1353"/>
    <w:rsid w:val="DFF296B9"/>
    <w:rsid w:val="EFDB2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pt-BR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footer"/>
    <w:basedOn w:val="1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7">
    <w:name w:val="List"/>
    <w:basedOn w:val="3"/>
    <w:uiPriority w:val="0"/>
    <w:rPr>
      <w:rFonts w:cs="Lohit Devanagari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Cabeçalho Char"/>
    <w:basedOn w:val="8"/>
    <w:qFormat/>
    <w:uiPriority w:val="0"/>
    <w:rPr>
      <w:rFonts w:ascii="Times New Roman" w:hAnsi="Times New Roman" w:eastAsia="Lucida Sans Unicode" w:cs="Times New Roman"/>
      <w:kern w:val="2"/>
      <w:sz w:val="24"/>
      <w:szCs w:val="24"/>
    </w:rPr>
  </w:style>
  <w:style w:type="character" w:customStyle="1" w:styleId="12">
    <w:name w:val="Texto de balão Char"/>
    <w:basedOn w:val="8"/>
    <w:semiHidden/>
    <w:qFormat/>
    <w:uiPriority w:val="99"/>
    <w:rPr>
      <w:rFonts w:ascii="Tahoma" w:hAnsi="Tahoma" w:eastAsia="Lucida Sans Unicode" w:cs="Tahoma"/>
      <w:kern w:val="2"/>
      <w:sz w:val="16"/>
      <w:szCs w:val="16"/>
    </w:rPr>
  </w:style>
  <w:style w:type="character" w:customStyle="1" w:styleId="13">
    <w:name w:val="Rodapé Char"/>
    <w:basedOn w:val="8"/>
    <w:qFormat/>
    <w:uiPriority w:val="99"/>
    <w:rPr>
      <w:rFonts w:ascii="Times New Roman" w:hAnsi="Times New Roman" w:eastAsia="Lucida Sans Unicode" w:cs="Times New Roman"/>
      <w:kern w:val="2"/>
      <w:sz w:val="24"/>
      <w:szCs w:val="24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customStyle="1" w:styleId="15">
    <w:name w:val="Título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7">
    <w:name w:val="Legenda2"/>
    <w:basedOn w:val="1"/>
    <w:qFormat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8">
    <w:name w:val="Legenda1"/>
    <w:basedOn w:val="1"/>
    <w:qFormat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paragraph" w:customStyle="1" w:styleId="19">
    <w:name w:val="Normal1"/>
    <w:qFormat/>
    <w:uiPriority w:val="0"/>
    <w:pPr>
      <w:widowControl w:val="0"/>
      <w:suppressAutoHyphens/>
      <w:bidi w:val="0"/>
      <w:spacing w:before="0" w:after="0" w:line="100" w:lineRule="atLeast"/>
      <w:jc w:val="left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1157</Words>
  <Characters>6530</Characters>
  <Paragraphs>226</Paragraphs>
  <TotalTime>1</TotalTime>
  <ScaleCrop>false</ScaleCrop>
  <LinksUpToDate>false</LinksUpToDate>
  <CharactersWithSpaces>7501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2015-08-13T05:11:00Z</dcterms:created>
  <dc:creator>Renan</dc:creator>
  <cp:lastModifiedBy>esdras</cp:lastModifiedBy>
  <cp:lastPrinted>2018-08-19T10:52:00Z</cp:lastPrinted>
  <dcterms:modified xsi:type="dcterms:W3CDTF">2019-08-30T15:11:13Z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