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ans-serif" w:hAnsi="sans-serif" w:eastAsia="sans-serif" w:cs="sans-serif"/>
          <w:b/>
          <w:color w:val="000000"/>
          <w:lang w:val="pt-PT"/>
        </w:rPr>
      </w:pPr>
      <w:r>
        <w:rPr>
          <w:rFonts w:hint="default" w:ascii="sans-serif" w:hAnsi="sans-serif" w:eastAsia="sans-serif" w:cs="sans-serif"/>
          <w:b/>
          <w:color w:val="000000"/>
          <w:lang w:val="pt-PT"/>
        </w:rPr>
        <w:t>Elementos Descritivos da Intervenção Realizada (McGill et al., 2018)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ascii="sans-serif" w:hAnsi="sans-serif" w:eastAsia="sans-serif" w:cs="sans-serif"/>
          <w:b/>
          <w:color w:val="000000"/>
          <w:lang w:val="pt-B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</w:pPr>
      <w:r>
        <w:rPr>
          <w:rFonts w:ascii="sans-serif" w:hAnsi="sans-serif" w:eastAsia="sans-serif" w:cs="sans-serif"/>
          <w:b/>
          <w:color w:val="000000"/>
          <w:lang w:val="pt-BR"/>
        </w:rPr>
        <w:t>Quadro 1: Dimensões demográficas dos estudantes de Algoritmos e Programação 1 e 2</w:t>
      </w:r>
    </w:p>
    <w:tbl>
      <w:tblPr>
        <w:tblW w:w="849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103"/>
        <w:gridCol w:w="5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82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bdr w:val="none" w:color="auto" w:sz="0" w:space="0"/>
              </w:rPr>
              <w:t>Dimensões demográficas dos estudantes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3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Faixa etária e ano de ensino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AP1 - 53 alunos, sendo 47 calouros e 6 veteranos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AP2 – 38 alunos, sendo 32 calouros e 6 veteranos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Alunos do 1º ano do ensino superior em Ciências da Computação, com idade entre 18 e 24 anos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3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Sexo biológico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AP1 – 46 do sexo masculino e 7 do sexo feminino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 xml:space="preserve">AP2 – 34 do sexo masculino e 4 do sexo feminino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3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Localidade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Disciplinas de Algoritmos e Programação 1 e 2, do Curso de Ciências da Computação, Jataí – Goiás, Brasil.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3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Informações socioeconômicas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Alunos do ensino superior, público federal.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567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</w:pPr>
      <w:r>
        <w:rPr>
          <w:rFonts w:hint="default" w:ascii="sans-serif" w:hAnsi="sans-serif" w:eastAsia="sans-serif" w:cs="sans-serif"/>
          <w:b/>
          <w:color w:val="000000"/>
          <w:lang w:val="pt-BR"/>
        </w:rPr>
        <w:t>Quadro 2: Dimensões demográficas dos instrutores (docente e monitores) de Algoritmos e Programação 1 e 2</w:t>
      </w:r>
    </w:p>
    <w:tbl>
      <w:tblPr>
        <w:tblW w:w="849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103"/>
        <w:gridCol w:w="5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82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bdr w:val="none" w:color="auto" w:sz="0" w:space="0"/>
              </w:rPr>
              <w:t>Dimensões demográficas dos instrutores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3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Número de instrutores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AP1 – 1 docente e 1 monitor bolsista (discente), ambos vinculados ao curso de Ciências da Computação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AP2 – 1 docente (mesma docente de AP1) e 2 monitores (discentes), sendo 1 bolsistas e 1 voluntário, todos vinculados ao curso de Ciências da Computação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3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 xml:space="preserve">Quem ministrou a intervenção 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Aulas – docente do curso de Ciências da Computação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Monitorias – discentes do curso de Ciências da Computação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3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Sexo biológico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Docente do sexo feminino e todos os discentes do sexo masculino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3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Raça/etnia</w:t>
            </w:r>
          </w:p>
        </w:tc>
        <w:tc>
          <w:tcPr>
            <w:tcW w:w="5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4 brancos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567"/>
        <w:jc w:val="both"/>
      </w:pPr>
    </w:p>
    <w:p>
      <w:pPr>
        <w:rPr>
          <w:rFonts w:hint="default" w:ascii="sans-serif" w:hAnsi="sans-serif" w:eastAsia="sans-serif" w:cs="sans-serif"/>
          <w:b/>
          <w:color w:val="000000"/>
          <w:lang w:val="pt-BR"/>
        </w:rPr>
      </w:pPr>
      <w:r>
        <w:rPr>
          <w:rFonts w:hint="default" w:ascii="sans-serif" w:hAnsi="sans-serif" w:eastAsia="sans-serif" w:cs="sans-serif"/>
          <w:b/>
          <w:color w:val="000000"/>
          <w:lang w:val="pt-BR"/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</w:pPr>
      <w:r>
        <w:rPr>
          <w:rFonts w:hint="default" w:ascii="sans-serif" w:hAnsi="sans-serif" w:eastAsia="sans-serif" w:cs="sans-serif"/>
          <w:b/>
          <w:color w:val="000000"/>
          <w:lang w:val="pt-BR"/>
        </w:rPr>
        <w:t>Quadro 3: Dimensões da componente de intervenção do projeto de ensino</w:t>
      </w:r>
    </w:p>
    <w:tbl>
      <w:tblPr>
        <w:tblW w:w="849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694"/>
        <w:gridCol w:w="57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82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bdr w:val="none" w:color="auto" w:sz="0" w:space="0"/>
              </w:rPr>
              <w:t>Componentes da intervenção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Objetivos de aprendizagem claramente definidos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  <w:vertAlign w:val="subscript"/>
              </w:rPr>
              <w:t>Introduzir conceitos e recursos referentes à programação de computadores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Acolher os alunos, recém integrantes à Universidade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Promover a monitoria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 xml:space="preserve">Desenvolver habilidades de soft skills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Despertar o senso de protagonismo e propósito para promover a melhoria da sociedade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Tipo de atividades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1 - Aulas expositivas com a apresentação do conteúdo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2 - Reforço ao conteúdo por meio da atividade de monitoria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3 - Uso de técnicas de desenvolvimento ágil para o trabalho em equipe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4 - Palestras (biblioteca, equipe psicopedagógica e diretoria de inovação e empreendedorismo da UFJ)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 xml:space="preserve">5 - Apresentação do projeto final da disciplina em formato de </w:t>
            </w:r>
            <w:r>
              <w:rPr>
                <w:rFonts w:hint="default" w:ascii="Times New Roman" w:hAnsi="Times New Roman" w:eastAsia="serif" w:cs="Times New Roman"/>
                <w:i/>
                <w:sz w:val="20"/>
                <w:szCs w:val="20"/>
                <w:bdr w:val="none" w:color="auto" w:sz="0" w:space="0"/>
              </w:rPr>
              <w:t>demoday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Atividade obrigatório ou opcional?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Atividades obrigatórias: 1 e 5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Atividades opcionais: 2, 3 e 4 (diferente do horário de aula)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Importante destacar que para estimular a participação dos alunos, durante o semestre foram atribuídos bônus na nota àqueles alunos que participaram das atividades. Para a monitoria, era necessário obter 100% de presença nos encontros da monitoria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Quando a atividade foi oferecida?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AP1 – novembro a dezembro de 2022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AP2 – em andamento, janeiro a maio de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Material utilizado?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O material foi elaborado pelos instrutores do projeto e estão disponíveis em: https://sites.google.com/ufj.edu.br/culturastartup/p%C3%A1gina-inicial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Método de ensino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Abordagem expositiva dialogada, com a realização de projeto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Ferramenta/linguagem utilizada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 xml:space="preserve">Para algoritmos: VisuAlg; Linguagem C: Code::Blocks; Desenvolvimento ágil: SCRUM e programação em pares; Apresentação: Canvas para elaborar o modelo de negócio e </w:t>
            </w:r>
            <w:r>
              <w:rPr>
                <w:rFonts w:hint="default" w:ascii="Times New Roman" w:hAnsi="Times New Roman" w:eastAsia="serif" w:cs="Times New Roman"/>
                <w:i/>
                <w:sz w:val="20"/>
                <w:szCs w:val="20"/>
                <w:bdr w:val="none" w:color="auto" w:sz="0" w:space="0"/>
              </w:rPr>
              <w:t>pitch</w:t>
            </w: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Duração da atividade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Aulas: 32 encontros (2h cada) – 2 vezes por semana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Monitoria: 16 encontros (2h cada) – 1 vez por semana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Média do número de alunos em cada encontro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Aulas: 45 alunos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Monitorias: 20 alunos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Palestras: 40 alunos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eastAsia="serif" w:cs="Times New Roman"/>
                <w:i/>
                <w:sz w:val="20"/>
                <w:szCs w:val="20"/>
                <w:bdr w:val="none" w:color="auto" w:sz="0" w:space="0"/>
              </w:rPr>
              <w:t>Demoday</w:t>
            </w: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>: 35 alunos (AP1)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Período da intervenção propriamente dita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Aulas: 02/08/2022 a 12/12/2022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Monitoria: 26/08/2022 a 12/12/2022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Palestras: Biblioteca: 26/08/2023, Psicopedagoga: 19/09/2023, Inovação: 26/10/2023, 27/03/2023 (online pela PRPI: Empreenda Jataí)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eastAsia="serif" w:cs="Times New Roman"/>
                <w:i/>
                <w:sz w:val="20"/>
                <w:szCs w:val="20"/>
                <w:bdr w:val="none" w:color="auto" w:sz="0" w:space="0"/>
              </w:rPr>
              <w:t>Demoday</w:t>
            </w: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>: AP1 em 05/12/2022, AP2 em 02/05/2023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Materiais e recursos necessários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 xml:space="preserve">Laboratório de informática, </w:t>
            </w:r>
            <w:r>
              <w:rPr>
                <w:rFonts w:hint="default" w:ascii="Times New Roman" w:hAnsi="Times New Roman" w:eastAsia="serif" w:cs="Times New Roman"/>
                <w:i/>
                <w:sz w:val="20"/>
                <w:szCs w:val="20"/>
                <w:bdr w:val="none" w:color="auto" w:sz="0" w:space="0"/>
              </w:rPr>
              <w:t>datashow</w:t>
            </w: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 xml:space="preserve"> e lousa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0"/>
                <w:szCs w:val="20"/>
                <w:bdr w:val="none" w:color="auto" w:sz="0" w:space="0"/>
              </w:rPr>
              <w:t>Tempo de preparação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>15 dias, afinal a preparação das aulas já estava concluída. Assim, é necessário um período para planejar as aulas, fazer o nivelamento, seleção e preparação do monitor, acompanhamento das equipes (</w:t>
            </w:r>
            <w:r>
              <w:rPr>
                <w:rFonts w:hint="default" w:ascii="Times New Roman" w:hAnsi="Times New Roman" w:eastAsia="serif" w:cs="Times New Roman"/>
                <w:i/>
                <w:sz w:val="20"/>
                <w:szCs w:val="20"/>
                <w:bdr w:val="none" w:color="auto" w:sz="0" w:space="0"/>
              </w:rPr>
              <w:t>sprints</w:t>
            </w: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 xml:space="preserve">), preparar o material para instruir os alunos ao </w:t>
            </w:r>
            <w:r>
              <w:rPr>
                <w:rFonts w:hint="default" w:ascii="Times New Roman" w:hAnsi="Times New Roman" w:eastAsia="serif" w:cs="Times New Roman"/>
                <w:i/>
                <w:sz w:val="20"/>
                <w:szCs w:val="20"/>
                <w:bdr w:val="none" w:color="auto" w:sz="0" w:space="0"/>
              </w:rPr>
              <w:t>demoday</w:t>
            </w:r>
            <w:r>
              <w:rPr>
                <w:rFonts w:hint="default" w:ascii="Times New Roman" w:hAnsi="Times New Roman" w:eastAsia="serif" w:cs="Times New Roman"/>
                <w:sz w:val="20"/>
                <w:szCs w:val="20"/>
                <w:bdr w:val="none" w:color="auto" w:sz="0" w:space="0"/>
              </w:rPr>
              <w:t>, convidar e confirmar a participação dos avaliadores, preparar barema para avaliação.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567"/>
        <w:jc w:val="both"/>
      </w:pPr>
    </w:p>
    <w:p/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McGill, M. M., Decker, A., e Abbott, Z. (2018). Improving research and experience</w:t>
      </w:r>
      <w:r>
        <w:rPr>
          <w:rFonts w:hint="default" w:ascii="Times New Roman" w:hAnsi="Times New Roman" w:cs="Times New Roman"/>
          <w:lang w:val="pt-PT"/>
        </w:rPr>
        <w:t xml:space="preserve"> </w:t>
      </w:r>
      <w:r>
        <w:rPr>
          <w:rFonts w:hint="default" w:ascii="Times New Roman" w:hAnsi="Times New Roman" w:cs="Times New Roman"/>
        </w:rPr>
        <w:t xml:space="preserve">reports of pre-college computing activities: A gap analysis. In </w:t>
      </w:r>
      <w:r>
        <w:rPr>
          <w:rFonts w:hint="default" w:ascii="Times New Roman" w:hAnsi="Times New Roman" w:cs="Times New Roman"/>
          <w:b/>
          <w:bCs/>
        </w:rPr>
        <w:t>Proceedings of the 49</w:t>
      </w:r>
      <w:r>
        <w:rPr>
          <w:rFonts w:hint="default" w:ascii="Times New Roman" w:hAnsi="Times New Roman" w:cs="Times New Roman"/>
          <w:b/>
          <w:bCs/>
          <w:vertAlign w:val="superscript"/>
        </w:rPr>
        <w:t>th</w:t>
      </w:r>
      <w:r>
        <w:rPr>
          <w:rFonts w:hint="default" w:ascii="Times New Roman" w:hAnsi="Times New Roman" w:cs="Times New Roman"/>
          <w:b/>
          <w:bCs/>
          <w:lang w:val="pt-PT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ACM Technical Symposium on Computer Science Education</w:t>
      </w:r>
      <w:r>
        <w:rPr>
          <w:rFonts w:hint="default" w:ascii="Times New Roman" w:hAnsi="Times New Roman" w:cs="Times New Roman"/>
        </w:rPr>
        <w:t>, pages 964–969.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D5140"/>
    <w:rsid w:val="7FC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80"/>
      <w:u w:val="single"/>
    </w:rPr>
  </w:style>
  <w:style w:type="paragraph" w:styleId="5">
    <w:name w:val="Normal (Web)"/>
    <w:uiPriority w:val="0"/>
    <w:pPr>
      <w:spacing w:before="0" w:beforeAutospacing="1" w:after="0" w:afterAutospacing="0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2023-03-19T10:01:00Z</dcterms:created>
  <dc:creator>esdras</dc:creator>
  <cp:lastModifiedBy>esdras</cp:lastModifiedBy>
  <dcterms:modified xsi:type="dcterms:W3CDTF">2023-03-19T10:06:04Z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