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spacing w:before="360" w:after="80"/>
      </w:pPr>
      <w:r>
        <w:rPr>
          <w:rFonts w:ascii="Calibri" w:hAnsi="Calibri"/>
          <w:b/>
          <w:color w:val="178A8A"/>
          <w:sz w:val="20"/>
        </w:rPr>
        <w:t>INFORME DE DECISIÓN</w:t>
      </w:r>
    </w:p>
    <w:p>
      <w:pPr>
        <w:pStyle w:val="Title"/>
        <w:keepLines/>
        <w:spacing w:after="80"/>
      </w:pPr>
      <w:r>
        <w:rPr>
          <w:rFonts w:ascii="Calibri" w:hAnsi="Calibri"/>
          <w:b/>
          <w:color w:val="17365D"/>
          <w:sz w:val="54"/>
        </w:rPr>
        <w:t>VTEX vs. Tiendanube vs. Shopify</w:t>
      </w:r>
    </w:p>
    <w:p>
      <w:pPr>
        <w:pStyle w:val="Subtitle"/>
        <w:keepLines/>
        <w:spacing w:after="240"/>
      </w:pPr>
      <w:r>
        <w:rPr>
          <w:rFonts w:ascii="Calibri" w:hAnsi="Calibri"/>
          <w:color w:val="5B6573"/>
          <w:sz w:val="28"/>
        </w:rPr>
        <w:t>Evaluación B2C de plataformas, integradores, promociones, costos y capacidad operativa</w:t>
      </w:r>
    </w:p>
    <w:tbl>
      <w:tblPr>
        <w:tblStyle w:val="TableGrid"/>
        <w:tblW w:type="dxa" w:w="9360"/>
        <w:jc w:val="left"/>
        <w:tblLayout w:type="fixed"/>
        <w:tblLook w:firstColumn="1" w:firstRow="1" w:lastColumn="0" w:lastRow="0" w:noHBand="0" w:noVBand="1" w:val="04A0"/>
        <w:tblInd w:type="dxa" w:w="120"/>
      </w:tblPr>
      <w:tblGrid>
        <w:gridCol w:w="1900"/>
        <w:gridCol w:w="7460"/>
      </w:tblGrid>
      <w:tr>
        <w:trPr>
          <w:tblHeader w:val="true"/>
        </w:trPr>
        <w:tc>
          <w:tcPr>
            <w:tcW w:type="dxa" w:w="1900"/>
            <w:shd w:fill="EAF2F8"/>
            <w:vAlign w:val="center"/>
            <w:tcMar>
              <w:top w:w="80" w:type="dxa"/>
              <w:bottom w:w="80" w:type="dxa"/>
              <w:start w:w="120" w:type="dxa"/>
              <w:end w:w="120" w:type="dxa"/>
            </w:tcMar>
          </w:tcPr>
          <w:p>
            <w:pPr>
              <w:spacing w:after="0"/>
            </w:pPr>
            <w:r>
              <w:rPr>
                <w:rFonts w:ascii="Calibri" w:hAnsi="Calibri"/>
                <w:b/>
                <w:color w:val="17365D"/>
                <w:sz w:val="18"/>
              </w:rPr>
              <w:t>Empresa</w:t>
            </w:r>
          </w:p>
        </w:tc>
        <w:tc>
          <w:tcPr>
            <w:tcW w:type="dxa" w:w="7460"/>
            <w:vAlign w:val="center"/>
            <w:tcMar>
              <w:top w:w="80" w:type="dxa"/>
              <w:bottom w:w="80" w:type="dxa"/>
              <w:start w:w="120" w:type="dxa"/>
              <w:end w:w="120" w:type="dxa"/>
            </w:tcMar>
          </w:tcPr>
          <w:p>
            <w:pPr>
              <w:spacing w:after="0"/>
            </w:pPr>
            <w:r>
              <w:rPr>
                <w:rFonts w:ascii="Calibri" w:hAnsi="Calibri"/>
                <w:b w:val="0"/>
                <w:color w:val="1F2937"/>
                <w:sz w:val="18"/>
              </w:rPr>
              <w:t>Saracho Neumáticos</w:t>
            </w:r>
          </w:p>
        </w:tc>
      </w:tr>
      <w:tr>
        <w:trPr/>
        <w:tc>
          <w:tcPr>
            <w:tcW w:type="dxa" w:w="1900"/>
            <w:shd w:fill="EAF2F8"/>
            <w:vAlign w:val="center"/>
            <w:tcMar>
              <w:top w:w="80" w:type="dxa"/>
              <w:bottom w:w="80" w:type="dxa"/>
              <w:start w:w="120" w:type="dxa"/>
              <w:end w:w="120" w:type="dxa"/>
            </w:tcMar>
          </w:tcPr>
          <w:p>
            <w:pPr>
              <w:spacing w:after="0"/>
            </w:pPr>
            <w:r>
              <w:rPr>
                <w:rFonts w:ascii="Calibri" w:hAnsi="Calibri"/>
                <w:b/>
                <w:color w:val="17365D"/>
                <w:sz w:val="18"/>
              </w:rPr>
              <w:t>Fecha</w:t>
            </w:r>
          </w:p>
        </w:tc>
        <w:tc>
          <w:tcPr>
            <w:tcW w:type="dxa" w:w="7460"/>
            <w:vAlign w:val="center"/>
            <w:tcMar>
              <w:top w:w="80" w:type="dxa"/>
              <w:bottom w:w="80" w:type="dxa"/>
              <w:start w:w="120" w:type="dxa"/>
              <w:end w:w="120" w:type="dxa"/>
            </w:tcMar>
          </w:tcPr>
          <w:p>
            <w:pPr>
              <w:spacing w:after="0"/>
            </w:pPr>
            <w:r>
              <w:rPr>
                <w:rFonts w:ascii="Calibri" w:hAnsi="Calibri"/>
                <w:b w:val="0"/>
                <w:color w:val="1F2937"/>
                <w:sz w:val="18"/>
              </w:rPr>
              <w:t>18 de agosto de 2026</w:t>
            </w:r>
          </w:p>
        </w:tc>
      </w:tr>
      <w:tr>
        <w:trPr/>
        <w:tc>
          <w:tcPr>
            <w:tcW w:type="dxa" w:w="1900"/>
            <w:shd w:fill="EAF2F8"/>
            <w:vAlign w:val="center"/>
            <w:tcMar>
              <w:top w:w="80" w:type="dxa"/>
              <w:bottom w:w="80" w:type="dxa"/>
              <w:start w:w="120" w:type="dxa"/>
              <w:end w:w="120" w:type="dxa"/>
            </w:tcMar>
          </w:tcPr>
          <w:p>
            <w:pPr>
              <w:spacing w:after="0"/>
            </w:pPr>
            <w:r>
              <w:rPr>
                <w:rFonts w:ascii="Calibri" w:hAnsi="Calibri"/>
                <w:b/>
                <w:color w:val="17365D"/>
                <w:sz w:val="18"/>
              </w:rPr>
              <w:t>Objetivo</w:t>
            </w:r>
          </w:p>
        </w:tc>
        <w:tc>
          <w:tcPr>
            <w:tcW w:type="dxa" w:w="7460"/>
            <w:vAlign w:val="center"/>
            <w:tcMar>
              <w:top w:w="80" w:type="dxa"/>
              <w:bottom w:w="80" w:type="dxa"/>
              <w:start w:w="120" w:type="dxa"/>
              <w:end w:w="120" w:type="dxa"/>
            </w:tcMar>
          </w:tcPr>
          <w:p>
            <w:pPr>
              <w:spacing w:after="0"/>
            </w:pPr>
            <w:r>
              <w:rPr>
                <w:rFonts w:ascii="Calibri" w:hAnsi="Calibri"/>
                <w:b w:val="0"/>
                <w:color w:val="1F2937"/>
                <w:sz w:val="18"/>
              </w:rPr>
              <w:t>Definir una ruta B2C de plataforma e integración con menor costo y riesgo operativo</w:t>
            </w:r>
          </w:p>
        </w:tc>
      </w:tr>
      <w:tr>
        <w:trPr/>
        <w:tc>
          <w:tcPr>
            <w:tcW w:type="dxa" w:w="1900"/>
            <w:shd w:fill="EAF2F8"/>
            <w:vAlign w:val="center"/>
            <w:tcMar>
              <w:top w:w="80" w:type="dxa"/>
              <w:bottom w:w="80" w:type="dxa"/>
              <w:start w:w="120" w:type="dxa"/>
              <w:end w:w="120" w:type="dxa"/>
            </w:tcMar>
          </w:tcPr>
          <w:p>
            <w:pPr>
              <w:spacing w:after="0"/>
            </w:pPr>
            <w:r>
              <w:rPr>
                <w:rFonts w:ascii="Calibri" w:hAnsi="Calibri"/>
                <w:b/>
                <w:color w:val="17365D"/>
                <w:sz w:val="18"/>
              </w:rPr>
              <w:t>Alcance</w:t>
            </w:r>
          </w:p>
        </w:tc>
        <w:tc>
          <w:tcPr>
            <w:tcW w:type="dxa" w:w="7460"/>
            <w:vAlign w:val="center"/>
            <w:tcMar>
              <w:top w:w="80" w:type="dxa"/>
              <w:bottom w:w="80" w:type="dxa"/>
              <w:start w:w="120" w:type="dxa"/>
              <w:end w:w="120" w:type="dxa"/>
            </w:tcMar>
          </w:tcPr>
          <w:p>
            <w:pPr>
              <w:spacing w:after="0"/>
            </w:pPr>
            <w:r>
              <w:rPr>
                <w:rFonts w:ascii="Calibri" w:hAnsi="Calibri"/>
                <w:b w:val="0"/>
                <w:color w:val="1F2937"/>
                <w:sz w:val="18"/>
              </w:rPr>
              <w:t>Experiencia B2C, catálogo, promociones, cuotas, pagos, stock, pedidos, diseño y soporte</w:t>
            </w:r>
          </w:p>
        </w:tc>
      </w:tr>
      <w:tr>
        <w:trPr/>
        <w:tc>
          <w:tcPr>
            <w:tcW w:type="dxa" w:w="1900"/>
            <w:shd w:fill="EAF2F8"/>
            <w:vAlign w:val="center"/>
            <w:tcMar>
              <w:top w:w="80" w:type="dxa"/>
              <w:bottom w:w="80" w:type="dxa"/>
              <w:start w:w="120" w:type="dxa"/>
              <w:end w:w="120" w:type="dxa"/>
            </w:tcMar>
          </w:tcPr>
          <w:p>
            <w:pPr>
              <w:spacing w:after="0"/>
            </w:pPr>
            <w:r>
              <w:rPr>
                <w:rFonts w:ascii="Calibri" w:hAnsi="Calibri"/>
                <w:b/>
                <w:color w:val="17365D"/>
                <w:sz w:val="18"/>
              </w:rPr>
              <w:t>Estado</w:t>
            </w:r>
          </w:p>
        </w:tc>
        <w:tc>
          <w:tcPr>
            <w:tcW w:type="dxa" w:w="7460"/>
            <w:vAlign w:val="center"/>
            <w:tcMar>
              <w:top w:w="80" w:type="dxa"/>
              <w:bottom w:w="80" w:type="dxa"/>
              <w:start w:w="120" w:type="dxa"/>
              <w:end w:w="120" w:type="dxa"/>
            </w:tcMar>
          </w:tcPr>
          <w:p>
            <w:pPr>
              <w:spacing w:after="0"/>
            </w:pPr>
            <w:r>
              <w:rPr>
                <w:rFonts w:ascii="Calibri" w:hAnsi="Calibri"/>
                <w:b w:val="0"/>
                <w:color w:val="1F2937"/>
                <w:sz w:val="18"/>
              </w:rPr>
              <w:t>Recomendación preliminar sujeta a costos reales y prueba técnica</w:t>
            </w:r>
          </w:p>
        </w:tc>
      </w:tr>
    </w:tbl>
    <w:p>
      <w:pPr>
        <w:keepLines/>
        <w:spacing w:after="60"/>
      </w:pPr>
    </w:p>
    <w:tbl>
      <w:tblPr>
        <w:tblW w:type="dxa" w:w="9360"/>
        <w:jc w:val="left"/>
        <w:tblLayout w:type="fixed"/>
        <w:tblLook w:firstColumn="1" w:firstRow="1" w:lastColumn="0" w:lastRow="0" w:noHBand="0" w:noVBand="1" w:val="04A0"/>
        <w:tblInd w:type="dxa" w:w="180"/>
      </w:tblPr>
      <w:tblGrid>
        <w:gridCol w:w="9360"/>
      </w:tblGrid>
      <w:tr>
        <w:trPr>
          <w:tblHeader w:val="true"/>
        </w:trPr>
        <w:tc>
          <w:tcPr>
            <w:tcW w:type="dxa" w:w="9360"/>
            <w:shd w:fill="FFF4DE"/>
            <w:tcBorders>
              <w:top w:val="nil"/>
              <w:left w:val="single" w:sz="26" w:space="0" w:color="B36B00"/>
              <w:bottom w:val="nil"/>
              <w:right w:val="nil"/>
            </w:tcBorders>
            <w:tcMar>
              <w:top w:w="130" w:type="dxa"/>
              <w:bottom w:w="130" w:type="dxa"/>
              <w:start w:w="180" w:type="dxa"/>
              <w:end w:w="180" w:type="dxa"/>
            </w:tcMar>
          </w:tcPr>
          <w:p>
            <w:pPr>
              <w:spacing w:after="40"/>
            </w:pPr>
            <w:r>
              <w:rPr>
                <w:rFonts w:ascii="Calibri" w:hAnsi="Calibri"/>
                <w:b/>
                <w:color w:val="B36B00"/>
                <w:sz w:val="18"/>
              </w:rPr>
              <w:t>CONCLUSIÓN EJECUTIVA</w:t>
            </w:r>
          </w:p>
          <w:p>
            <w:pPr>
              <w:spacing w:after="20" w:line="259" w:lineRule="auto"/>
            </w:pPr>
            <w:r>
              <w:rPr>
                <w:rFonts w:ascii="Calibri" w:hAnsi="Calibri"/>
                <w:b/>
                <w:color w:val="1F2937"/>
                <w:sz w:val="21"/>
              </w:rPr>
              <w:t>Saracho es un negocio B2C. La prioridad es bajar el costo fijo porque el nivel de ventas está bajo, sin resignar conversión, imagen ni capacidad comercial. La dotación web es reducida y existen promociones complejas —por ejemplo, un 4x3 válido únicamente en 6 cuotas— que la implementación actual de VTEX no permite limitar así. Tiendanube debe evaluarse específicamente bajo el plan Evolución; Shopify es la tercera alternativa. Astroselling–VTEX queda como hipótesis.</w:t>
            </w:r>
          </w:p>
        </w:tc>
      </w:tr>
    </w:tbl>
    <w:p>
      <w:pPr>
        <w:keepLines/>
        <w:spacing w:after="20"/>
      </w:pPr>
    </w:p>
    <w:p>
      <w:pPr>
        <w:keepLines/>
        <w:spacing w:before="140" w:after="60"/>
      </w:pPr>
      <w:r>
        <w:rPr>
          <w:rFonts w:ascii="Calibri" w:hAnsi="Calibri"/>
          <w:b/>
          <w:color w:val="178A8A"/>
          <w:sz w:val="18"/>
        </w:rPr>
        <w:t>DECISIÓN PROPUESTA</w:t>
      </w:r>
    </w:p>
    <w:p>
      <w:pPr>
        <w:pStyle w:val="ListBullet"/>
        <w:keepLines/>
        <w:ind w:left="720" w:hanging="360"/>
      </w:pPr>
      <w:r>
        <w:rPr>
          <w:rFonts w:ascii="Calibri" w:hAnsi="Calibri"/>
          <w:color w:val="1F2937"/>
        </w:rPr>
        <w:t>Mantener el esquema actual durante el análisis y no hacer un reemplazo directo de Producteca.</w:t>
      </w:r>
    </w:p>
    <w:p>
      <w:pPr>
        <w:pStyle w:val="ListBullet"/>
        <w:keepLines/>
        <w:ind w:left="720" w:hanging="360"/>
      </w:pPr>
      <w:r>
        <w:rPr>
          <w:rFonts w:ascii="Calibri" w:hAnsi="Calibri"/>
          <w:color w:val="1F2937"/>
        </w:rPr>
        <w:t>Construir demos comparables de Tiendanube Evolución y Shopify —Home, listado, ficha, cuotas, carrito y móvil— para medir calidad visual y experiencia contra VTEX.</w:t>
      </w:r>
    </w:p>
    <w:p>
      <w:pPr>
        <w:pStyle w:val="ListBullet"/>
        <w:keepLines/>
        <w:ind w:left="720" w:hanging="360"/>
      </w:pPr>
      <w:r>
        <w:rPr>
          <w:rFonts w:ascii="Calibri" w:hAnsi="Calibri"/>
          <w:color w:val="1F2937"/>
        </w:rPr>
        <w:t>Cotizar Tiendanube Evolución con condiciones B2C reales: fee, transacciones, Pago Nube, soporte, migración, desarrollo custom y aplicaciones.</w:t>
      </w:r>
    </w:p>
    <w:p>
      <w:pPr>
        <w:pStyle w:val="ListBullet"/>
        <w:keepLines/>
        <w:ind w:left="720" w:hanging="360"/>
      </w:pPr>
      <w:r>
        <w:rPr>
          <w:rFonts w:ascii="Calibri" w:hAnsi="Calibri"/>
          <w:color w:val="1F2937"/>
        </w:rPr>
        <w:t>Probar la matriz promocional real, incluyendo un 4x3 habilitado solo para 6 cuotas, combinaciones permitidas, exclusiones y comunicación al cliente.</w:t>
      </w:r>
    </w:p>
    <w:p>
      <w:pPr>
        <w:pStyle w:val="ListBullet"/>
        <w:keepLines/>
        <w:ind w:left="720" w:hanging="360"/>
      </w:pPr>
      <w:r>
        <w:rPr>
          <w:rFonts w:ascii="Calibri" w:hAnsi="Calibri"/>
          <w:color w:val="1F2937"/>
        </w:rPr>
        <w:t>Medir si una persona puede operar catálogo, precios, promociones y controles sin depender continuamente de desarrollo o múltiples proveedores.</w:t>
      </w:r>
    </w:p>
    <w:p>
      <w:pPr>
        <w:pStyle w:val="ListBullet"/>
        <w:ind w:left="720" w:hanging="360"/>
      </w:pPr>
      <w:r>
        <w:rPr>
          <w:rFonts w:ascii="Calibri" w:hAnsi="Calibri"/>
          <w:color w:val="1F2937"/>
        </w:rPr>
        <w:t>Comparar tres alternativas principales: continuidad optimizada en VTEX + Producteca, Tiendanube Evolución + Astroselling y Shopify + Astroselling, usando TCO a 24 meses, impacto inmediato en caja y pruebas técnica/visual.</w:t>
      </w:r>
    </w:p>
    <w:p>
      <w:pPr>
        <w:pStyle w:val="ListBullet"/>
        <w:keepLines/>
        <w:ind w:left="720" w:hanging="360"/>
      </w:pPr>
      <w:r>
        <w:rPr>
          <w:rFonts w:ascii="Calibri" w:hAnsi="Calibri"/>
          <w:color w:val="1F2937"/>
        </w:rPr>
        <w:t>Mantener la posible integración Astroselling–VTEX como caso hipotético y no incluir sus ahorros en el business case hasta que exista una propuesta verificable.</w:t>
      </w:r>
    </w:p>
    <w:p>
      <w:pPr>
        <w:keepLines/>
        <w:spacing w:before="140" w:after="40"/>
      </w:pPr>
      <w:r>
        <w:rPr>
          <w:rFonts w:ascii="Calibri" w:hAnsi="Calibri"/>
          <w:b/>
          <w:color w:val="17365D"/>
          <w:sz w:val="18"/>
        </w:rPr>
        <w:t>Lectura rápida</w:t>
      </w:r>
    </w:p>
    <w:p>
      <w:pPr>
        <w:spacing w:after="0"/>
      </w:pPr>
      <w:r>
        <w:rPr>
          <w:rFonts w:ascii="Calibri" w:hAnsi="Calibri"/>
          <w:i w:val="0"/>
          <w:color w:val="1F2937"/>
        </w:rPr>
        <w:t>Por ser B2C, pesan especialmente la conversión móvil, la búsqueda por medida, cuotas, promociones, checkout, pagos, envíos y autogestión. Capacidades B2B, marketplace propio u OMS enterprise solo agregan valor si existe un caso concreto. Tiendanube Evolución aporta acompañamiento y personalización, pero al cotizarse a medida no debe presumirse más barata que VTEX o Shopify.</w:t>
      </w:r>
    </w:p>
    <w:p>
      <w:pPr>
        <w:keepLines/>
      </w:pPr>
      <w:r>
        <w:br w:type="page"/>
      </w:r>
    </w:p>
    <w:p>
      <w:pPr>
        <w:pStyle w:val="Heading1"/>
        <w:keepNext/>
        <w:keepLines/>
      </w:pPr>
      <w:r>
        <w:t>1. Contexto y arquitectura actual</w:t>
      </w:r>
    </w:p>
    <w:p>
      <w:pPr>
        <w:spacing w:after="120"/>
      </w:pPr>
      <w:r>
        <w:rPr>
          <w:rFonts w:ascii="Calibri" w:hAnsi="Calibri"/>
          <w:i w:val="0"/>
          <w:color w:val="1F2937"/>
        </w:rPr>
        <w:t>Saracho Neumáticos opera un negocio B2C sobre VTEX. Producteca sincroniza el catálogo con VTEX y, por lo tanto, interviene en datos críticos como productos, precios, stock y pedidos. Pirce se incorpora como integrador/partner operativo actual; su alcance, contrato, fee y responsabilidades deben validarse antes de decidir.</w:t>
      </w:r>
    </w:p>
    <w:p>
      <w:pPr>
        <w:spacing w:after="120"/>
      </w:pPr>
      <w:r>
        <w:rPr>
          <w:rFonts w:ascii="Calibri" w:hAnsi="Calibri"/>
          <w:i w:val="0"/>
          <w:color w:val="1F2937"/>
        </w:rPr>
        <w:t>La documentación interna también evidencia desarrollo específico sobre VTEX IO para información de cuotas y promociones. Ese activo no migra automáticamente a Tiendanube Evolución ni Shopify: deberá reemplazarse por funcionalidad nativa, una aplicación equivalente o un nuevo desarrollo.</w:t>
      </w:r>
    </w:p>
    <w:p>
      <w:pPr>
        <w:spacing w:after="120"/>
      </w:pPr>
      <w:r>
        <w:rPr>
          <w:rFonts w:ascii="Calibri" w:hAnsi="Calibri"/>
          <w:i w:val="0"/>
          <w:color w:val="1F2937"/>
        </w:rPr>
        <w:t>Como antecedente comercial relevante, Saracho Neumáticos ya mantuvo conversaciones con Astroselling para analizar una integración con VTEX y el proveedor manifestó disposición a desarrollarla. El informe trata esa disposición como una oportunidad concreta, aunque pendiente de propuesta formal, definición técnica, costos, SLA y prueba productiva.</w:t>
      </w:r>
    </w:p>
    <w:p>
      <w:pPr>
        <w:spacing w:after="120"/>
      </w:pPr>
      <w:r>
        <w:rPr>
          <w:rFonts w:ascii="Calibri" w:hAnsi="Calibri"/>
          <w:i w:val="0"/>
          <w:color w:val="1F2937"/>
        </w:rPr>
        <w:t>La operación enfrenta además una restricción comercial concreta: existen promociones que combinan beneficio y financiación, como un 4x3 aplicable únicamente si el cliente paga en 6 cuotas. Según la experiencia actual de Saracho, VTEX no permite limitar esa promoción por cantidad de cuotas de la forma requerida, lo que obliga a simplificar la oferta, asumir excepciones o sumar desarrollo.</w:t>
      </w:r>
    </w:p>
    <w:p>
      <w:pPr>
        <w:spacing w:after="120"/>
      </w:pPr>
      <w:r>
        <w:rPr>
          <w:rFonts w:ascii="Calibri" w:hAnsi="Calibri"/>
          <w:i w:val="0"/>
          <w:color w:val="1F2937"/>
        </w:rPr>
        <w:t>El equipo dedicado a la página web es reducido. Esto aumenta el costo relativo de cada tarea manual, capacitación e incidente, y vuelve riesgosa cualquier arquitectura que dependa de varios paneles, controles diarios o escalamiento entre plataforma, integrador y desarrollador.</w:t>
      </w:r>
    </w:p>
    <w:tbl>
      <w:tblPr>
        <w:tblW w:type="dxa" w:w="9360"/>
        <w:jc w:val="left"/>
        <w:tblLayout w:type="fixed"/>
        <w:tblLook w:firstColumn="1" w:firstRow="1" w:lastColumn="0" w:lastRow="0" w:noHBand="0" w:noVBand="1" w:val="04A0"/>
        <w:tblInd w:type="dxa" w:w="180"/>
      </w:tblPr>
      <w:tblGrid>
        <w:gridCol w:w="9360"/>
      </w:tblGrid>
      <w:tr>
        <w:trPr>
          <w:tblHeader w:val="true"/>
        </w:trPr>
        <w:tc>
          <w:tcPr>
            <w:tcW w:type="dxa" w:w="9360"/>
            <w:shd w:fill="EAF5EC"/>
            <w:tcBorders>
              <w:top w:val="nil"/>
              <w:left w:val="single" w:sz="26" w:space="0" w:color="2E7D32"/>
              <w:bottom w:val="nil"/>
              <w:right w:val="nil"/>
            </w:tcBorders>
            <w:tcMar>
              <w:top w:w="130" w:type="dxa"/>
              <w:bottom w:w="130" w:type="dxa"/>
              <w:start w:w="180" w:type="dxa"/>
              <w:end w:w="180" w:type="dxa"/>
            </w:tcMar>
          </w:tcPr>
          <w:p>
            <w:pPr>
              <w:spacing w:after="40"/>
            </w:pPr>
            <w:r>
              <w:rPr>
                <w:rFonts w:ascii="Calibri" w:hAnsi="Calibri"/>
                <w:b/>
                <w:color w:val="2E7D32"/>
                <w:sz w:val="18"/>
              </w:rPr>
              <w:t>PRIORIDAD DEL NEGOCIO</w:t>
            </w:r>
          </w:p>
          <w:p>
            <w:pPr>
              <w:spacing w:after="20" w:line="259" w:lineRule="auto"/>
            </w:pPr>
            <w:r>
              <w:rPr>
                <w:rFonts w:ascii="Calibri" w:hAnsi="Calibri"/>
                <w:b/>
                <w:color w:val="1F2937"/>
                <w:sz w:val="21"/>
              </w:rPr>
              <w:t>La baja de ventas vuelve urgente reducir el punto de equilibrio mensual. Con una dotación reducida, la decisión debe privilegiar ahorro recurrente, autogestión y menos tareas manuales, pero proteger conversión, promociones, posicionamiento de marca y continuidad operativa.</w:t>
            </w:r>
          </w:p>
        </w:tc>
      </w:tr>
    </w:tbl>
    <w:p>
      <w:pPr>
        <w:keepLines/>
        <w:spacing w:after="20"/>
      </w:pPr>
    </w:p>
    <w:tbl>
      <w:tblPr>
        <w:tblW w:type="dxa" w:w="9360"/>
        <w:jc w:val="left"/>
        <w:tblLayout w:type="fixed"/>
        <w:tblLook w:firstColumn="1" w:firstRow="1" w:lastColumn="0" w:lastRow="0" w:noHBand="0" w:noVBand="1" w:val="04A0"/>
        <w:tblInd w:type="dxa" w:w="180"/>
      </w:tblPr>
      <w:tblGrid>
        <w:gridCol w:w="9360"/>
      </w:tblGrid>
      <w:tr>
        <w:trPr>
          <w:tblHeader w:val="true"/>
        </w:trPr>
        <w:tc>
          <w:tcPr>
            <w:tcW w:type="dxa" w:w="9360"/>
            <w:shd w:fill="EAF2F8"/>
            <w:tcBorders>
              <w:top w:val="nil"/>
              <w:left w:val="single" w:sz="26" w:space="0" w:color="2E74B5"/>
              <w:bottom w:val="nil"/>
              <w:right w:val="nil"/>
            </w:tcBorders>
            <w:tcMar>
              <w:top w:w="130" w:type="dxa"/>
              <w:bottom w:w="130" w:type="dxa"/>
              <w:start w:w="180" w:type="dxa"/>
              <w:end w:w="180" w:type="dxa"/>
            </w:tcMar>
          </w:tcPr>
          <w:p>
            <w:pPr>
              <w:spacing w:after="40"/>
            </w:pPr>
            <w:r>
              <w:rPr>
                <w:rFonts w:ascii="Calibri" w:hAnsi="Calibri"/>
                <w:b/>
                <w:color w:val="2E74B5"/>
                <w:sz w:val="18"/>
              </w:rPr>
              <w:t>LENTE B2C</w:t>
            </w:r>
          </w:p>
          <w:p>
            <w:pPr>
              <w:spacing w:after="20" w:line="259" w:lineRule="auto"/>
            </w:pPr>
            <w:r>
              <w:rPr>
                <w:rFonts w:ascii="Calibri" w:hAnsi="Calibri"/>
                <w:b/>
                <w:color w:val="1F2937"/>
                <w:sz w:val="21"/>
              </w:rPr>
              <w:t>La plataforma ganadora debe facilitar que un consumidor encuentre el neumático correcto, entienda precio y financiación, aplique la promoción válida y complete la compra desde el celular. Las capacidades enterprise que no mejoren ese recorrido ni reduzcan trabajo operativo deben considerarse costo excedente.</w:t>
            </w:r>
          </w:p>
        </w:tc>
      </w:tr>
    </w:tbl>
    <w:p>
      <w:pPr>
        <w:keepLines/>
        <w:spacing w:after="20"/>
      </w:pPr>
    </w:p>
    <w:p>
      <w:pPr>
        <w:pStyle w:val="Heading2"/>
        <w:keepNext/>
        <w:keepLines/>
      </w:pPr>
      <w:r>
        <w:t>Mapa simplificado</w:t>
      </w:r>
    </w:p>
    <w:tbl>
      <w:tblPr>
        <w:tblStyle w:val="TableGrid"/>
        <w:tblW w:type="dxa" w:w="9360"/>
        <w:jc w:val="left"/>
        <w:tblLayout w:type="fixed"/>
        <w:tblLook w:firstColumn="1" w:firstRow="1" w:lastColumn="0" w:lastRow="0" w:noHBand="0" w:noVBand="1" w:val="04A0"/>
        <w:tblInd w:type="dxa" w:w="120"/>
      </w:tblPr>
      <w:tblGrid>
        <w:gridCol w:w="1900"/>
        <w:gridCol w:w="5560"/>
        <w:gridCol w:w="1900"/>
      </w:tblGrid>
      <w:tr>
        <w:trPr>
          <w:tblHeader w:val="true"/>
        </w:trPr>
        <w:tc>
          <w:tcPr>
            <w:tcW w:type="dxa" w:w="1900"/>
            <w:shd w:fill="17365D"/>
            <w:vAlign w:val="center"/>
            <w:tcMar>
              <w:top w:w="90" w:type="dxa"/>
              <w:bottom w:w="90" w:type="dxa"/>
              <w:start w:w="120" w:type="dxa"/>
              <w:end w:w="120" w:type="dxa"/>
            </w:tcMar>
          </w:tcPr>
          <w:p>
            <w:pPr>
              <w:spacing w:after="0"/>
              <w:jc w:val="left"/>
            </w:pPr>
            <w:r>
              <w:rPr>
                <w:rFonts w:ascii="Calibri" w:hAnsi="Calibri"/>
                <w:b/>
                <w:color w:val="FFFFFF"/>
                <w:sz w:val="17"/>
              </w:rPr>
              <w:t>Componente</w:t>
            </w:r>
          </w:p>
        </w:tc>
        <w:tc>
          <w:tcPr>
            <w:tcW w:type="dxa" w:w="5560"/>
            <w:shd w:fill="17365D"/>
            <w:vAlign w:val="center"/>
            <w:tcMar>
              <w:top w:w="90" w:type="dxa"/>
              <w:bottom w:w="90" w:type="dxa"/>
              <w:start w:w="120" w:type="dxa"/>
              <w:end w:w="120" w:type="dxa"/>
            </w:tcMar>
          </w:tcPr>
          <w:p>
            <w:pPr>
              <w:spacing w:after="0"/>
              <w:jc w:val="left"/>
            </w:pPr>
            <w:r>
              <w:rPr>
                <w:rFonts w:ascii="Calibri" w:hAnsi="Calibri"/>
                <w:b/>
                <w:color w:val="FFFFFF"/>
                <w:sz w:val="17"/>
              </w:rPr>
              <w:t>Función considerada</w:t>
            </w:r>
          </w:p>
        </w:tc>
        <w:tc>
          <w:tcPr>
            <w:tcW w:type="dxa" w:w="1900"/>
            <w:shd w:fill="17365D"/>
            <w:vAlign w:val="center"/>
            <w:tcMar>
              <w:top w:w="90" w:type="dxa"/>
              <w:bottom w:w="90" w:type="dxa"/>
              <w:start w:w="120" w:type="dxa"/>
              <w:end w:w="120" w:type="dxa"/>
            </w:tcMar>
          </w:tcPr>
          <w:p>
            <w:pPr>
              <w:spacing w:after="0"/>
              <w:jc w:val="left"/>
            </w:pPr>
            <w:r>
              <w:rPr>
                <w:rFonts w:ascii="Calibri" w:hAnsi="Calibri"/>
                <w:b/>
                <w:color w:val="FFFFFF"/>
                <w:sz w:val="17"/>
              </w:rPr>
              <w:t>Rol</w:t>
            </w:r>
          </w:p>
        </w:tc>
      </w:tr>
      <w:tr>
        <w:trPr/>
        <w:tc>
          <w:tcPr>
            <w:tcW w:type="dxa" w:w="1900"/>
            <w:vAlign w:val="center"/>
            <w:tcMar>
              <w:top w:w="90" w:type="dxa"/>
              <w:bottom w:w="90" w:type="dxa"/>
              <w:start w:w="120" w:type="dxa"/>
              <w:end w:w="120" w:type="dxa"/>
            </w:tcMar>
          </w:tcPr>
          <w:p>
            <w:pPr>
              <w:spacing w:after="0" w:line="247" w:lineRule="auto"/>
            </w:pPr>
            <w:r>
              <w:rPr>
                <w:rFonts w:ascii="Calibri" w:hAnsi="Calibri"/>
                <w:b/>
                <w:color w:val="1F2937"/>
                <w:sz w:val="17"/>
              </w:rPr>
              <w:t>VTEX</w:t>
            </w:r>
          </w:p>
        </w:tc>
        <w:tc>
          <w:tcPr>
            <w:tcW w:type="dxa" w:w="5560"/>
            <w:vAlign w:val="center"/>
            <w:tcMar>
              <w:top w:w="90" w:type="dxa"/>
              <w:bottom w:w="90" w:type="dxa"/>
              <w:start w:w="120" w:type="dxa"/>
              <w:end w:w="120" w:type="dxa"/>
            </w:tcMar>
          </w:tcPr>
          <w:p>
            <w:pPr>
              <w:spacing w:after="0" w:line="247" w:lineRule="auto"/>
            </w:pPr>
            <w:r>
              <w:rPr>
                <w:rFonts w:ascii="Calibri" w:hAnsi="Calibri"/>
                <w:b w:val="0"/>
                <w:color w:val="1F2937"/>
                <w:sz w:val="17"/>
              </w:rPr>
              <w:t>Tienda, catálogo operativo, promociones, checkout, pedidos y extensiones VTEX IO</w:t>
            </w:r>
          </w:p>
        </w:tc>
        <w:tc>
          <w:tcPr>
            <w:tcW w:type="dxa" w:w="1900"/>
            <w:vAlign w:val="center"/>
            <w:tcMar>
              <w:top w:w="90" w:type="dxa"/>
              <w:bottom w:w="90" w:type="dxa"/>
              <w:start w:w="120" w:type="dxa"/>
              <w:end w:w="120" w:type="dxa"/>
            </w:tcMar>
          </w:tcPr>
          <w:p>
            <w:pPr>
              <w:spacing w:after="0" w:line="247" w:lineRule="auto"/>
            </w:pPr>
            <w:r>
              <w:rPr>
                <w:rFonts w:ascii="Calibri" w:hAnsi="Calibri"/>
                <w:b w:val="0"/>
                <w:color w:val="1F2937"/>
                <w:sz w:val="17"/>
              </w:rPr>
              <w:t>Plataforma central</w:t>
            </w:r>
          </w:p>
        </w:tc>
      </w:tr>
      <w:tr>
        <w:trPr/>
        <w:tc>
          <w:tcPr>
            <w:tcW w:type="dxa" w:w="1900"/>
            <w:vAlign w:val="center"/>
            <w:shd w:fill="F8FAFC"/>
            <w:tcMar>
              <w:top w:w="90" w:type="dxa"/>
              <w:bottom w:w="90" w:type="dxa"/>
              <w:start w:w="120" w:type="dxa"/>
              <w:end w:w="120" w:type="dxa"/>
            </w:tcMar>
          </w:tcPr>
          <w:p>
            <w:pPr>
              <w:spacing w:after="0" w:line="247" w:lineRule="auto"/>
            </w:pPr>
            <w:r>
              <w:rPr>
                <w:rFonts w:ascii="Calibri" w:hAnsi="Calibri"/>
                <w:b/>
                <w:color w:val="1F2937"/>
                <w:sz w:val="17"/>
              </w:rPr>
              <w:t>Producteca</w:t>
            </w:r>
          </w:p>
        </w:tc>
        <w:tc>
          <w:tcPr>
            <w:tcW w:type="dxa" w:w="5560"/>
            <w:vAlign w:val="center"/>
            <w:shd w:fill="F8FAFC"/>
            <w:tcMar>
              <w:top w:w="90" w:type="dxa"/>
              <w:bottom w:w="90" w:type="dxa"/>
              <w:start w:w="120" w:type="dxa"/>
              <w:end w:w="120" w:type="dxa"/>
            </w:tcMar>
          </w:tcPr>
          <w:p>
            <w:pPr>
              <w:spacing w:after="0" w:line="247" w:lineRule="auto"/>
            </w:pPr>
            <w:r>
              <w:rPr>
                <w:rFonts w:ascii="Calibri" w:hAnsi="Calibri"/>
                <w:b w:val="0"/>
                <w:color w:val="1F2937"/>
                <w:sz w:val="17"/>
              </w:rPr>
              <w:t>Sincronización multicanal de catálogo, stock, precios y pedidos</w:t>
            </w:r>
          </w:p>
        </w:tc>
        <w:tc>
          <w:tcPr>
            <w:tcW w:type="dxa" w:w="1900"/>
            <w:vAlign w:val="center"/>
            <w:shd w:fill="F8FAFC"/>
            <w:tcMar>
              <w:top w:w="90" w:type="dxa"/>
              <w:bottom w:w="90" w:type="dxa"/>
              <w:start w:w="120" w:type="dxa"/>
              <w:end w:w="120" w:type="dxa"/>
            </w:tcMar>
          </w:tcPr>
          <w:p>
            <w:pPr>
              <w:spacing w:after="0" w:line="247" w:lineRule="auto"/>
            </w:pPr>
            <w:r>
              <w:rPr>
                <w:rFonts w:ascii="Calibri" w:hAnsi="Calibri"/>
                <w:b w:val="0"/>
                <w:color w:val="1F2937"/>
                <w:sz w:val="17"/>
              </w:rPr>
              <w:t>Capa crítica de integración</w:t>
            </w:r>
          </w:p>
        </w:tc>
      </w:tr>
      <w:tr>
        <w:trPr/>
        <w:tc>
          <w:tcPr>
            <w:tcW w:type="dxa" w:w="1900"/>
            <w:vAlign w:val="center"/>
            <w:tcMar>
              <w:top w:w="90" w:type="dxa"/>
              <w:bottom w:w="90" w:type="dxa"/>
              <w:start w:w="120" w:type="dxa"/>
              <w:end w:w="120" w:type="dxa"/>
            </w:tcMar>
          </w:tcPr>
          <w:p>
            <w:pPr>
              <w:spacing w:after="0" w:line="247" w:lineRule="auto"/>
            </w:pPr>
            <w:r>
              <w:rPr>
                <w:rFonts w:ascii="Calibri" w:hAnsi="Calibri"/>
                <w:b/>
                <w:color w:val="1F2937"/>
                <w:sz w:val="17"/>
              </w:rPr>
              <w:t>Pirce</w:t>
            </w:r>
          </w:p>
        </w:tc>
        <w:tc>
          <w:tcPr>
            <w:tcW w:type="dxa" w:w="5560"/>
            <w:vAlign w:val="center"/>
            <w:tcMar>
              <w:top w:w="90" w:type="dxa"/>
              <w:bottom w:w="90" w:type="dxa"/>
              <w:start w:w="120" w:type="dxa"/>
              <w:end w:w="120" w:type="dxa"/>
            </w:tcMar>
          </w:tcPr>
          <w:p>
            <w:pPr>
              <w:spacing w:after="0" w:line="247" w:lineRule="auto"/>
            </w:pPr>
            <w:r>
              <w:rPr>
                <w:rFonts w:ascii="Calibri" w:hAnsi="Calibri"/>
                <w:b w:val="0"/>
                <w:color w:val="1F2937"/>
                <w:sz w:val="17"/>
              </w:rPr>
              <w:t>Implementación, soporte o integración según contrato vigente</w:t>
            </w:r>
          </w:p>
        </w:tc>
        <w:tc>
          <w:tcPr>
            <w:tcW w:type="dxa" w:w="1900"/>
            <w:vAlign w:val="center"/>
            <w:tcMar>
              <w:top w:w="90" w:type="dxa"/>
              <w:bottom w:w="90" w:type="dxa"/>
              <w:start w:w="120" w:type="dxa"/>
              <w:end w:w="120" w:type="dxa"/>
            </w:tcMar>
          </w:tcPr>
          <w:p>
            <w:pPr>
              <w:spacing w:after="0" w:line="247" w:lineRule="auto"/>
            </w:pPr>
            <w:r>
              <w:rPr>
                <w:rFonts w:ascii="Calibri" w:hAnsi="Calibri"/>
                <w:b w:val="0"/>
                <w:color w:val="1F2937"/>
                <w:sz w:val="17"/>
              </w:rPr>
              <w:t>Responsabilidad a confirmar</w:t>
            </w:r>
          </w:p>
        </w:tc>
      </w:tr>
      <w:tr>
        <w:trPr/>
        <w:tc>
          <w:tcPr>
            <w:tcW w:type="dxa" w:w="1900"/>
            <w:vAlign w:val="center"/>
            <w:shd w:fill="F8FAFC"/>
            <w:tcMar>
              <w:top w:w="90" w:type="dxa"/>
              <w:bottom w:w="90" w:type="dxa"/>
              <w:start w:w="120" w:type="dxa"/>
              <w:end w:w="120" w:type="dxa"/>
            </w:tcMar>
          </w:tcPr>
          <w:p>
            <w:pPr>
              <w:spacing w:after="0" w:line="247" w:lineRule="auto"/>
            </w:pPr>
            <w:r>
              <w:rPr>
                <w:rFonts w:ascii="Calibri" w:hAnsi="Calibri"/>
                <w:b/>
                <w:color w:val="1F2937"/>
                <w:sz w:val="17"/>
              </w:rPr>
              <w:t>Mercado Libre y otros</w:t>
            </w:r>
          </w:p>
        </w:tc>
        <w:tc>
          <w:tcPr>
            <w:tcW w:type="dxa" w:w="5560"/>
            <w:vAlign w:val="center"/>
            <w:shd w:fill="F8FAFC"/>
            <w:tcMar>
              <w:top w:w="90" w:type="dxa"/>
              <w:bottom w:w="90" w:type="dxa"/>
              <w:start w:w="120" w:type="dxa"/>
              <w:end w:w="120" w:type="dxa"/>
            </w:tcMar>
          </w:tcPr>
          <w:p>
            <w:pPr>
              <w:spacing w:after="0" w:line="247" w:lineRule="auto"/>
            </w:pPr>
            <w:r>
              <w:rPr>
                <w:rFonts w:ascii="Calibri" w:hAnsi="Calibri"/>
                <w:b w:val="0"/>
                <w:color w:val="1F2937"/>
                <w:sz w:val="17"/>
              </w:rPr>
              <w:t>Canales externos que consumen catálogo/stock/precio y generan ventas</w:t>
            </w:r>
          </w:p>
        </w:tc>
        <w:tc>
          <w:tcPr>
            <w:tcW w:type="dxa" w:w="1900"/>
            <w:vAlign w:val="center"/>
            <w:shd w:fill="F8FAFC"/>
            <w:tcMar>
              <w:top w:w="90" w:type="dxa"/>
              <w:bottom w:w="90" w:type="dxa"/>
              <w:start w:w="120" w:type="dxa"/>
              <w:end w:w="120" w:type="dxa"/>
            </w:tcMar>
          </w:tcPr>
          <w:p>
            <w:pPr>
              <w:spacing w:after="0" w:line="247" w:lineRule="auto"/>
            </w:pPr>
            <w:r>
              <w:rPr>
                <w:rFonts w:ascii="Calibri" w:hAnsi="Calibri"/>
                <w:b w:val="0"/>
                <w:color w:val="1F2937"/>
                <w:sz w:val="17"/>
              </w:rPr>
              <w:t>Canales comerciales</w:t>
            </w:r>
          </w:p>
        </w:tc>
      </w:tr>
    </w:tbl>
    <w:p>
      <w:pPr>
        <w:keepLines/>
        <w:spacing w:after="40"/>
      </w:pPr>
    </w:p>
    <w:tbl>
      <w:tblPr>
        <w:tblW w:type="dxa" w:w="9360"/>
        <w:jc w:val="left"/>
        <w:tblLayout w:type="fixed"/>
        <w:tblLook w:firstColumn="1" w:firstRow="1" w:lastColumn="0" w:lastRow="0" w:noHBand="0" w:noVBand="1" w:val="04A0"/>
        <w:tblInd w:type="dxa" w:w="180"/>
      </w:tblPr>
      <w:tblGrid>
        <w:gridCol w:w="9360"/>
      </w:tblGrid>
      <w:tr>
        <w:trPr>
          <w:tblHeader w:val="true"/>
        </w:trPr>
        <w:tc>
          <w:tcPr>
            <w:tcW w:type="dxa" w:w="9360"/>
            <w:shd w:fill="EAF2F8"/>
            <w:tcBorders>
              <w:top w:val="nil"/>
              <w:left w:val="single" w:sz="26" w:space="0" w:color="2E74B5"/>
              <w:bottom w:val="nil"/>
              <w:right w:val="nil"/>
            </w:tcBorders>
            <w:tcMar>
              <w:top w:w="130" w:type="dxa"/>
              <w:bottom w:w="130" w:type="dxa"/>
              <w:start w:w="180" w:type="dxa"/>
              <w:end w:w="180" w:type="dxa"/>
            </w:tcMar>
          </w:tcPr>
          <w:p>
            <w:pPr>
              <w:spacing w:after="40"/>
            </w:pPr>
            <w:r>
              <w:rPr>
                <w:rFonts w:ascii="Calibri" w:hAnsi="Calibri"/>
                <w:b/>
                <w:color w:val="2E74B5"/>
                <w:sz w:val="18"/>
              </w:rPr>
              <w:t>PRINCIPIO DE ARQUITECTURA</w:t>
            </w:r>
          </w:p>
          <w:p>
            <w:pPr>
              <w:spacing w:after="20" w:line="259" w:lineRule="auto"/>
            </w:pPr>
            <w:r>
              <w:rPr>
                <w:rFonts w:ascii="Calibri" w:hAnsi="Calibri"/>
                <w:b/>
                <w:color w:val="1F2937"/>
                <w:sz w:val="21"/>
              </w:rPr>
              <w:t>Cada salto adicional entre sistemas agrega puntos de falla, conciliaciones y dependencia de terceros. La decisión no es solo VTEX vs. Tiendanube vs. Shopify: es qué combinación completa tiene un dueño claro para cada dato y cada incidente.</w:t>
            </w:r>
          </w:p>
        </w:tc>
      </w:tr>
    </w:tbl>
    <w:p>
      <w:pPr>
        <w:keepLines/>
        <w:spacing w:after="20"/>
      </w:pPr>
    </w:p>
    <w:p>
      <w:pPr>
        <w:pStyle w:val="Heading2"/>
        <w:keepNext/>
        <w:keepLines/>
      </w:pPr>
      <w:r>
        <w:t>Supuestos y límites</w:t>
      </w:r>
    </w:p>
    <w:p>
      <w:pPr>
        <w:pStyle w:val="ListBullet"/>
        <w:keepLines/>
        <w:ind w:left="720" w:hanging="360"/>
      </w:pPr>
      <w:r>
        <w:rPr>
          <w:rFonts w:ascii="Calibri" w:hAnsi="Calibri"/>
          <w:color w:val="1F2937"/>
        </w:rPr>
        <w:t>El análisis es ejecutivo y no reemplaza una cotización vinculante ni un relevamiento funcional detallado.</w:t>
      </w:r>
    </w:p>
    <w:p>
      <w:pPr>
        <w:pStyle w:val="ListBullet"/>
        <w:keepLines/>
        <w:ind w:left="720" w:hanging="360"/>
      </w:pPr>
      <w:r>
        <w:rPr>
          <w:rFonts w:ascii="Calibri" w:hAnsi="Calibri"/>
          <w:color w:val="1F2937"/>
        </w:rPr>
        <w:t>No se encontraron referencias públicas inequívocas sobre Pirce; se evita atribuirle funciones no confirmadas.</w:t>
      </w:r>
    </w:p>
    <w:p>
      <w:pPr>
        <w:pStyle w:val="ListBullet"/>
        <w:keepLines/>
        <w:ind w:left="720" w:hanging="360"/>
      </w:pPr>
      <w:r>
        <w:rPr>
          <w:rFonts w:ascii="Calibri" w:hAnsi="Calibri"/>
          <w:color w:val="1F2937"/>
        </w:rPr>
        <w:t>Los precios publicados cambian —especialmente en Argentina— y deben revalidarse al contratar.</w:t>
      </w:r>
    </w:p>
    <w:p>
      <w:pPr>
        <w:pStyle w:val="ListBullet"/>
        <w:keepLines/>
        <w:ind w:left="720" w:hanging="360"/>
      </w:pPr>
      <w:r>
        <w:rPr>
          <w:rFonts w:ascii="Calibri" w:hAnsi="Calibri"/>
          <w:color w:val="1F2937"/>
        </w:rPr>
        <w:t>No se dispone aún del GMV, cantidad de pedidos, SKU activos, centros de stock, fee de cada proveedor ni horas mensuales de soporte.</w:t>
      </w:r>
    </w:p>
    <w:p>
      <w:pPr>
        <w:pStyle w:val="Heading1"/>
        <w:keepNext/>
        <w:keepLines/>
      </w:pPr>
      <w:r>
        <w:t>2. Comparación de plataformas</w:t>
      </w:r>
    </w:p>
    <w:p>
      <w:pPr>
        <w:spacing w:after="120"/>
      </w:pPr>
      <w:r>
        <w:rPr>
          <w:rFonts w:ascii="Calibri" w:hAnsi="Calibri"/>
          <w:i w:val="0"/>
          <w:color w:val="1F2937"/>
        </w:rPr>
        <w:t>La comparación parte de un negocio B2C. VTEX está orientada a comercio unificado y extensible; Tiendanube Evolución ofrece una propuesta a medida con personalización, migración y acompañamiento; Shopify combina una operación SaaS accesible con un ecosistema global de temas, aplicaciones y desarrollo.</w:t>
      </w:r>
    </w:p>
    <w:tbl>
      <w:tblPr>
        <w:tblStyle w:val="TableGrid"/>
        <w:tblW w:type="dxa" w:w="9360"/>
        <w:jc w:val="left"/>
        <w:tblLayout w:type="fixed"/>
        <w:tblLook w:firstColumn="1" w:firstRow="1" w:lastColumn="0" w:lastRow="0" w:noHBand="0" w:noVBand="1" w:val="04A0"/>
        <w:tblInd w:type="dxa" w:w="120"/>
      </w:tblPr>
      <w:tblGrid>
        <w:gridCol w:w="1500"/>
        <w:gridCol w:w="2620"/>
        <w:gridCol w:w="2620"/>
        <w:gridCol w:w="2620"/>
      </w:tblGrid>
      <w:tr>
        <w:trPr>
          <w:tblHeader w:val="true"/>
        </w:trPr>
        <w:tc>
          <w:tcPr>
            <w:tcW w:type="dxa" w:w="1500"/>
            <w:shd w:fill="17365D"/>
            <w:vAlign w:val="center"/>
            <w:tcMar>
              <w:top w:w="90" w:type="dxa"/>
              <w:bottom w:w="90" w:type="dxa"/>
              <w:start w:w="120" w:type="dxa"/>
              <w:end w:w="120" w:type="dxa"/>
            </w:tcMar>
          </w:tcPr>
          <w:p>
            <w:pPr>
              <w:spacing w:after="0"/>
              <w:jc w:val="left"/>
            </w:pPr>
            <w:r>
              <w:rPr>
                <w:rFonts w:ascii="Calibri" w:hAnsi="Calibri"/>
                <w:b/>
                <w:color w:val="FFFFFF"/>
                <w:sz w:val="17"/>
              </w:rPr>
              <w:t>Criterio</w:t>
            </w:r>
          </w:p>
        </w:tc>
        <w:tc>
          <w:tcPr>
            <w:tcW w:type="dxa" w:w="2620"/>
            <w:shd w:fill="17365D"/>
            <w:vAlign w:val="center"/>
            <w:tcMar>
              <w:top w:w="90" w:type="dxa"/>
              <w:bottom w:w="90" w:type="dxa"/>
              <w:start w:w="120" w:type="dxa"/>
              <w:end w:w="120" w:type="dxa"/>
            </w:tcMar>
          </w:tcPr>
          <w:p>
            <w:pPr>
              <w:spacing w:after="0"/>
              <w:jc w:val="left"/>
            </w:pPr>
            <w:r>
              <w:rPr>
                <w:rFonts w:ascii="Calibri" w:hAnsi="Calibri"/>
                <w:b/>
                <w:color w:val="FFFFFF"/>
                <w:sz w:val="17"/>
              </w:rPr>
              <w:t>VTEX</w:t>
            </w:r>
          </w:p>
        </w:tc>
        <w:tc>
          <w:tcPr>
            <w:tcW w:type="dxa" w:w="2620"/>
            <w:shd w:fill="17365D"/>
            <w:vAlign w:val="center"/>
            <w:tcMar>
              <w:top w:w="90" w:type="dxa"/>
              <w:bottom w:w="90" w:type="dxa"/>
              <w:start w:w="120" w:type="dxa"/>
              <w:end w:w="120" w:type="dxa"/>
            </w:tcMar>
          </w:tcPr>
          <w:p>
            <w:pPr>
              <w:spacing w:after="0"/>
              <w:jc w:val="left"/>
            </w:pPr>
            <w:r>
              <w:rPr>
                <w:rFonts w:ascii="Calibri" w:hAnsi="Calibri"/>
                <w:b/>
                <w:color w:val="FFFFFF"/>
                <w:sz w:val="17"/>
              </w:rPr>
              <w:t>Tiendanube Evolución</w:t>
            </w:r>
          </w:p>
        </w:tc>
        <w:tc>
          <w:tcPr>
            <w:tcW w:type="dxa" w:w="2620"/>
            <w:shd w:fill="17365D"/>
            <w:vAlign w:val="center"/>
            <w:tcMar>
              <w:top w:w="90" w:type="dxa"/>
              <w:bottom w:w="90" w:type="dxa"/>
              <w:start w:w="120" w:type="dxa"/>
              <w:end w:w="120" w:type="dxa"/>
            </w:tcMar>
          </w:tcPr>
          <w:p>
            <w:pPr>
              <w:spacing w:after="0"/>
              <w:jc w:val="left"/>
            </w:pPr>
            <w:r>
              <w:rPr>
                <w:rFonts w:ascii="Calibri" w:hAnsi="Calibri"/>
                <w:b/>
                <w:color w:val="FFFFFF"/>
                <w:sz w:val="17"/>
              </w:rPr>
              <w:t>Shopify</w:t>
            </w:r>
          </w:p>
        </w:tc>
      </w:tr>
      <w:tr>
        <w:trPr/>
        <w:tc>
          <w:tcPr>
            <w:tcW w:type="dxa" w:w="1500"/>
            <w:vAlign w:val="center"/>
            <w:tcMar>
              <w:top w:w="90" w:type="dxa"/>
              <w:bottom w:w="90" w:type="dxa"/>
              <w:start w:w="120" w:type="dxa"/>
              <w:end w:w="120" w:type="dxa"/>
            </w:tcMar>
          </w:tcPr>
          <w:p>
            <w:pPr>
              <w:spacing w:after="0" w:line="247" w:lineRule="auto"/>
            </w:pPr>
            <w:r>
              <w:rPr>
                <w:rFonts w:ascii="Calibri" w:hAnsi="Calibri"/>
                <w:b/>
                <w:color w:val="1F2937"/>
                <w:sz w:val="14"/>
              </w:rPr>
              <w:t>Implementación</w:t>
            </w:r>
          </w:p>
        </w:tc>
        <w:tc>
          <w:tcPr>
            <w:tcW w:type="dxa" w:w="2620"/>
            <w:vAlign w:val="center"/>
            <w:tcMar>
              <w:top w:w="90" w:type="dxa"/>
              <w:bottom w:w="90" w:type="dxa"/>
              <w:start w:w="120" w:type="dxa"/>
              <w:end w:w="120" w:type="dxa"/>
            </w:tcMar>
          </w:tcPr>
          <w:p>
            <w:pPr>
              <w:spacing w:after="0" w:line="247" w:lineRule="auto"/>
            </w:pPr>
            <w:r>
              <w:rPr>
                <w:rFonts w:ascii="Calibri" w:hAnsi="Calibri"/>
                <w:b w:val="0"/>
                <w:color w:val="1F2937"/>
                <w:sz w:val="14"/>
              </w:rPr>
              <w:t>Mayor esfuerzo y especialistas</w:t>
            </w:r>
          </w:p>
        </w:tc>
        <w:tc>
          <w:tcPr>
            <w:tcW w:type="dxa" w:w="2620"/>
            <w:vAlign w:val="center"/>
            <w:tcMar>
              <w:top w:w="90" w:type="dxa"/>
              <w:bottom w:w="90" w:type="dxa"/>
              <w:start w:w="120" w:type="dxa"/>
              <w:end w:w="120" w:type="dxa"/>
            </w:tcMar>
          </w:tcPr>
          <w:p>
            <w:pPr>
              <w:spacing w:after="0" w:line="247" w:lineRule="auto"/>
            </w:pPr>
            <w:r>
              <w:rPr>
                <w:rFonts w:ascii="Calibri" w:hAnsi="Calibri"/>
                <w:b w:val="0"/>
                <w:color w:val="1F2937"/>
                <w:sz w:val="14"/>
              </w:rPr>
              <w:t>Más rápida y local</w:t>
            </w:r>
          </w:p>
        </w:tc>
        <w:tc>
          <w:tcPr>
            <w:tcW w:type="dxa" w:w="2620"/>
            <w:vAlign w:val="center"/>
            <w:tcMar>
              <w:top w:w="90" w:type="dxa"/>
              <w:bottom w:w="90" w:type="dxa"/>
              <w:start w:w="120" w:type="dxa"/>
              <w:end w:w="120" w:type="dxa"/>
            </w:tcMar>
          </w:tcPr>
          <w:p>
            <w:pPr>
              <w:spacing w:after="0" w:line="247" w:lineRule="auto"/>
            </w:pPr>
            <w:r>
              <w:rPr>
                <w:rFonts w:ascii="Calibri" w:hAnsi="Calibri"/>
                <w:b w:val="0"/>
                <w:color w:val="1F2937"/>
                <w:sz w:val="14"/>
              </w:rPr>
              <w:t>Rápida con tema; custom exige partner</w:t>
            </w:r>
          </w:p>
        </w:tc>
      </w:tr>
      <w:tr>
        <w:trPr/>
        <w:tc>
          <w:tcPr>
            <w:tcW w:type="dxa" w:w="1500"/>
            <w:vAlign w:val="center"/>
            <w:shd w:fill="F8FAFC"/>
            <w:tcMar>
              <w:top w:w="90" w:type="dxa"/>
              <w:bottom w:w="90" w:type="dxa"/>
              <w:start w:w="120" w:type="dxa"/>
              <w:end w:w="120" w:type="dxa"/>
            </w:tcMar>
          </w:tcPr>
          <w:p>
            <w:pPr>
              <w:spacing w:after="0" w:line="247" w:lineRule="auto"/>
            </w:pPr>
            <w:r>
              <w:rPr>
                <w:rFonts w:ascii="Calibri" w:hAnsi="Calibri"/>
                <w:b/>
                <w:color w:val="1F2937"/>
                <w:sz w:val="14"/>
              </w:rPr>
              <w:t>Costo</w:t>
            </w:r>
          </w:p>
        </w:tc>
        <w:tc>
          <w:tcPr>
            <w:tcW w:type="dxa" w:w="2620"/>
            <w:vAlign w:val="center"/>
            <w:shd w:fill="F8FAFC"/>
            <w:tcMar>
              <w:top w:w="90" w:type="dxa"/>
              <w:bottom w:w="90" w:type="dxa"/>
              <w:start w:w="120" w:type="dxa"/>
              <w:end w:w="120" w:type="dxa"/>
            </w:tcMar>
          </w:tcPr>
          <w:p>
            <w:pPr>
              <w:spacing w:after="0" w:line="247" w:lineRule="auto"/>
            </w:pPr>
            <w:r>
              <w:rPr>
                <w:rFonts w:ascii="Calibri" w:hAnsi="Calibri"/>
                <w:b w:val="0"/>
                <w:color w:val="1F2937"/>
                <w:sz w:val="14"/>
              </w:rPr>
              <w:t>Contrato + Producteca + Pirce + mantenimiento</w:t>
            </w:r>
          </w:p>
        </w:tc>
        <w:tc>
          <w:tcPr>
            <w:tcW w:type="dxa" w:w="2620"/>
            <w:vAlign w:val="center"/>
            <w:shd w:fill="F8FAFC"/>
            <w:tcMar>
              <w:top w:w="90" w:type="dxa"/>
              <w:bottom w:w="90" w:type="dxa"/>
              <w:start w:w="120" w:type="dxa"/>
              <w:end w:w="120" w:type="dxa"/>
            </w:tcMar>
          </w:tcPr>
          <w:p>
            <w:pPr>
              <w:spacing w:after="0" w:line="247" w:lineRule="auto"/>
            </w:pPr>
            <w:r>
              <w:rPr>
                <w:rFonts w:ascii="Calibri" w:hAnsi="Calibri"/>
                <w:b w:val="0"/>
                <w:color w:val="1F2937"/>
                <w:sz w:val="14"/>
              </w:rPr>
              <w:t>Evolución se cotiza a medida + apps/pagos</w:t>
            </w:r>
          </w:p>
        </w:tc>
        <w:tc>
          <w:tcPr>
            <w:tcW w:type="dxa" w:w="2620"/>
            <w:vAlign w:val="center"/>
            <w:shd w:fill="F8FAFC"/>
            <w:tcMar>
              <w:top w:w="90" w:type="dxa"/>
              <w:bottom w:w="90" w:type="dxa"/>
              <w:start w:w="120" w:type="dxa"/>
              <w:end w:w="120" w:type="dxa"/>
            </w:tcMar>
          </w:tcPr>
          <w:p>
            <w:pPr>
              <w:spacing w:after="0" w:line="247" w:lineRule="auto"/>
            </w:pPr>
            <w:r>
              <w:rPr>
                <w:rFonts w:ascii="Calibri" w:hAnsi="Calibri"/>
                <w:b w:val="0"/>
                <w:color w:val="1F2937"/>
                <w:sz w:val="14"/>
              </w:rPr>
              <w:t>USD + apps + fee por pagos externos</w:t>
            </w:r>
          </w:p>
        </w:tc>
      </w:tr>
      <w:tr>
        <w:trPr/>
        <w:tc>
          <w:tcPr>
            <w:tcW w:type="dxa" w:w="1500"/>
            <w:vAlign w:val="center"/>
            <w:tcMar>
              <w:top w:w="90" w:type="dxa"/>
              <w:bottom w:w="90" w:type="dxa"/>
              <w:start w:w="120" w:type="dxa"/>
              <w:end w:w="120" w:type="dxa"/>
            </w:tcMar>
          </w:tcPr>
          <w:p>
            <w:pPr>
              <w:spacing w:after="0" w:line="247" w:lineRule="auto"/>
            </w:pPr>
            <w:r>
              <w:rPr>
                <w:rFonts w:ascii="Calibri" w:hAnsi="Calibri"/>
                <w:b/>
                <w:color w:val="1F2937"/>
                <w:sz w:val="14"/>
              </w:rPr>
              <w:t>Ajuste B2C</w:t>
            </w:r>
          </w:p>
        </w:tc>
        <w:tc>
          <w:tcPr>
            <w:tcW w:type="dxa" w:w="2620"/>
            <w:vAlign w:val="center"/>
            <w:tcMar>
              <w:top w:w="90" w:type="dxa"/>
              <w:bottom w:w="90" w:type="dxa"/>
              <w:start w:w="120" w:type="dxa"/>
              <w:end w:w="120" w:type="dxa"/>
            </w:tcMar>
          </w:tcPr>
          <w:p>
            <w:pPr>
              <w:spacing w:after="0" w:line="247" w:lineRule="auto"/>
            </w:pPr>
            <w:r>
              <w:rPr>
                <w:rFonts w:ascii="Calibri" w:hAnsi="Calibri"/>
                <w:b w:val="0"/>
                <w:color w:val="1F2937"/>
                <w:sz w:val="14"/>
              </w:rPr>
              <w:t>Muy capaz; puede estar sobredimensionada</w:t>
            </w:r>
          </w:p>
        </w:tc>
        <w:tc>
          <w:tcPr>
            <w:tcW w:type="dxa" w:w="2620"/>
            <w:vAlign w:val="center"/>
            <w:tcMar>
              <w:top w:w="90" w:type="dxa"/>
              <w:bottom w:w="90" w:type="dxa"/>
              <w:start w:w="120" w:type="dxa"/>
              <w:end w:w="120" w:type="dxa"/>
            </w:tcMar>
          </w:tcPr>
          <w:p>
            <w:pPr>
              <w:spacing w:after="0" w:line="247" w:lineRule="auto"/>
            </w:pPr>
            <w:r>
              <w:rPr>
                <w:rFonts w:ascii="Calibri" w:hAnsi="Calibri"/>
                <w:b w:val="0"/>
                <w:color w:val="1F2937"/>
                <w:sz w:val="14"/>
              </w:rPr>
              <w:t>Foco local, conversión, pagos y soporte dedicado</w:t>
            </w:r>
          </w:p>
        </w:tc>
        <w:tc>
          <w:tcPr>
            <w:tcW w:type="dxa" w:w="2620"/>
            <w:vAlign w:val="center"/>
            <w:tcMar>
              <w:top w:w="90" w:type="dxa"/>
              <w:bottom w:w="90" w:type="dxa"/>
              <w:start w:w="120" w:type="dxa"/>
              <w:end w:w="120" w:type="dxa"/>
            </w:tcMar>
          </w:tcPr>
          <w:p>
            <w:pPr>
              <w:spacing w:after="0" w:line="247" w:lineRule="auto"/>
            </w:pPr>
            <w:r>
              <w:rPr>
                <w:rFonts w:ascii="Calibri" w:hAnsi="Calibri"/>
                <w:b w:val="0"/>
                <w:color w:val="1F2937"/>
                <w:sz w:val="14"/>
              </w:rPr>
              <w:t>Gran UX, temas y ecosistema global</w:t>
            </w:r>
          </w:p>
        </w:tc>
      </w:tr>
      <w:tr>
        <w:trPr/>
        <w:tc>
          <w:tcPr>
            <w:tcW w:type="dxa" w:w="1500"/>
            <w:vAlign w:val="center"/>
            <w:shd w:fill="F8FAFC"/>
            <w:tcMar>
              <w:top w:w="90" w:type="dxa"/>
              <w:bottom w:w="90" w:type="dxa"/>
              <w:start w:w="120" w:type="dxa"/>
              <w:end w:w="120" w:type="dxa"/>
            </w:tcMar>
          </w:tcPr>
          <w:p>
            <w:pPr>
              <w:spacing w:after="0" w:line="247" w:lineRule="auto"/>
            </w:pPr>
            <w:r>
              <w:rPr>
                <w:rFonts w:ascii="Calibri" w:hAnsi="Calibri"/>
                <w:b/>
                <w:color w:val="1F2937"/>
                <w:sz w:val="14"/>
              </w:rPr>
              <w:t>Complejidad</w:t>
            </w:r>
          </w:p>
        </w:tc>
        <w:tc>
          <w:tcPr>
            <w:tcW w:type="dxa" w:w="2620"/>
            <w:vAlign w:val="center"/>
            <w:shd w:fill="F8FAFC"/>
            <w:tcMar>
              <w:top w:w="90" w:type="dxa"/>
              <w:bottom w:w="90" w:type="dxa"/>
              <w:start w:w="120" w:type="dxa"/>
              <w:end w:w="120" w:type="dxa"/>
            </w:tcMar>
          </w:tcPr>
          <w:p>
            <w:pPr>
              <w:spacing w:after="0" w:line="247" w:lineRule="auto"/>
            </w:pPr>
            <w:r>
              <w:rPr>
                <w:rFonts w:ascii="Calibri" w:hAnsi="Calibri"/>
                <w:b w:val="0"/>
                <w:color w:val="1F2937"/>
                <w:sz w:val="14"/>
              </w:rPr>
              <w:t>Alta escala, OMS y reglas</w:t>
            </w:r>
          </w:p>
        </w:tc>
        <w:tc>
          <w:tcPr>
            <w:tcW w:type="dxa" w:w="2620"/>
            <w:vAlign w:val="center"/>
            <w:shd w:fill="F8FAFC"/>
            <w:tcMar>
              <w:top w:w="90" w:type="dxa"/>
              <w:bottom w:w="90" w:type="dxa"/>
              <w:start w:w="120" w:type="dxa"/>
              <w:end w:w="120" w:type="dxa"/>
            </w:tcMar>
          </w:tcPr>
          <w:p>
            <w:pPr>
              <w:spacing w:after="0" w:line="247" w:lineRule="auto"/>
            </w:pPr>
            <w:r>
              <w:rPr>
                <w:rFonts w:ascii="Calibri" w:hAnsi="Calibri"/>
                <w:b w:val="0"/>
                <w:color w:val="1F2937"/>
                <w:sz w:val="14"/>
              </w:rPr>
              <w:t>Operación estándar/local</w:t>
            </w:r>
          </w:p>
        </w:tc>
        <w:tc>
          <w:tcPr>
            <w:tcW w:type="dxa" w:w="2620"/>
            <w:vAlign w:val="center"/>
            <w:shd w:fill="F8FAFC"/>
            <w:tcMar>
              <w:top w:w="90" w:type="dxa"/>
              <w:bottom w:w="90" w:type="dxa"/>
              <w:start w:w="120" w:type="dxa"/>
              <w:end w:w="120" w:type="dxa"/>
            </w:tcMar>
          </w:tcPr>
          <w:p>
            <w:pPr>
              <w:spacing w:after="0" w:line="247" w:lineRule="auto"/>
            </w:pPr>
            <w:r>
              <w:rPr>
                <w:rFonts w:ascii="Calibri" w:hAnsi="Calibri"/>
                <w:b w:val="0"/>
                <w:color w:val="1F2937"/>
                <w:sz w:val="14"/>
              </w:rPr>
              <w:t>Escala SaaS y ecosistema global</w:t>
            </w:r>
          </w:p>
        </w:tc>
      </w:tr>
      <w:tr>
        <w:trPr/>
        <w:tc>
          <w:tcPr>
            <w:tcW w:type="dxa" w:w="1500"/>
            <w:vAlign w:val="center"/>
            <w:tcMar>
              <w:top w:w="90" w:type="dxa"/>
              <w:bottom w:w="90" w:type="dxa"/>
              <w:start w:w="120" w:type="dxa"/>
              <w:end w:w="120" w:type="dxa"/>
            </w:tcMar>
          </w:tcPr>
          <w:p>
            <w:pPr>
              <w:spacing w:after="0" w:line="247" w:lineRule="auto"/>
            </w:pPr>
            <w:r>
              <w:rPr>
                <w:rFonts w:ascii="Calibri" w:hAnsi="Calibri"/>
                <w:b/>
                <w:color w:val="1F2937"/>
                <w:sz w:val="14"/>
              </w:rPr>
              <w:t>Personalización</w:t>
            </w:r>
          </w:p>
        </w:tc>
        <w:tc>
          <w:tcPr>
            <w:tcW w:type="dxa" w:w="2620"/>
            <w:vAlign w:val="center"/>
            <w:tcMar>
              <w:top w:w="90" w:type="dxa"/>
              <w:bottom w:w="90" w:type="dxa"/>
              <w:start w:w="120" w:type="dxa"/>
              <w:end w:w="120" w:type="dxa"/>
            </w:tcMar>
          </w:tcPr>
          <w:p>
            <w:pPr>
              <w:spacing w:after="0" w:line="247" w:lineRule="auto"/>
            </w:pPr>
            <w:r>
              <w:rPr>
                <w:rFonts w:ascii="Calibri" w:hAnsi="Calibri"/>
                <w:b w:val="0"/>
                <w:color w:val="1F2937"/>
                <w:sz w:val="14"/>
              </w:rPr>
              <w:t>VTEX IO, APIs y headless</w:t>
            </w:r>
          </w:p>
        </w:tc>
        <w:tc>
          <w:tcPr>
            <w:tcW w:type="dxa" w:w="2620"/>
            <w:vAlign w:val="center"/>
            <w:tcMar>
              <w:top w:w="90" w:type="dxa"/>
              <w:bottom w:w="90" w:type="dxa"/>
              <w:start w:w="120" w:type="dxa"/>
              <w:end w:w="120" w:type="dxa"/>
            </w:tcMar>
          </w:tcPr>
          <w:p>
            <w:pPr>
              <w:spacing w:after="0" w:line="247" w:lineRule="auto"/>
            </w:pPr>
            <w:r>
              <w:rPr>
                <w:rFonts w:ascii="Calibri" w:hAnsi="Calibri"/>
                <w:b w:val="0"/>
                <w:color w:val="1F2937"/>
                <w:sz w:val="14"/>
              </w:rPr>
              <w:t>HTML/CSS/JS según plan</w:t>
            </w:r>
          </w:p>
        </w:tc>
        <w:tc>
          <w:tcPr>
            <w:tcW w:type="dxa" w:w="2620"/>
            <w:vAlign w:val="center"/>
            <w:tcMar>
              <w:top w:w="90" w:type="dxa"/>
              <w:bottom w:w="90" w:type="dxa"/>
              <w:start w:w="120" w:type="dxa"/>
              <w:end w:w="120" w:type="dxa"/>
            </w:tcMar>
          </w:tcPr>
          <w:p>
            <w:pPr>
              <w:spacing w:after="0" w:line="247" w:lineRule="auto"/>
            </w:pPr>
            <w:r>
              <w:rPr>
                <w:rFonts w:ascii="Calibri" w:hAnsi="Calibri"/>
                <w:b w:val="0"/>
                <w:color w:val="1F2937"/>
                <w:sz w:val="14"/>
              </w:rPr>
              <w:t>Temas, Liquid, apps, APIs y headless</w:t>
            </w:r>
          </w:p>
        </w:tc>
      </w:tr>
      <w:tr>
        <w:trPr/>
        <w:tc>
          <w:tcPr>
            <w:tcW w:type="dxa" w:w="1500"/>
            <w:vAlign w:val="center"/>
            <w:shd w:fill="F8FAFC"/>
            <w:tcMar>
              <w:top w:w="90" w:type="dxa"/>
              <w:bottom w:w="90" w:type="dxa"/>
              <w:start w:w="120" w:type="dxa"/>
              <w:end w:w="120" w:type="dxa"/>
            </w:tcMar>
          </w:tcPr>
          <w:p>
            <w:pPr>
              <w:spacing w:after="0" w:line="247" w:lineRule="auto"/>
            </w:pPr>
            <w:r>
              <w:rPr>
                <w:rFonts w:ascii="Calibri" w:hAnsi="Calibri"/>
                <w:b/>
                <w:color w:val="1F2937"/>
                <w:sz w:val="14"/>
              </w:rPr>
              <w:t>Equipo reducido</w:t>
            </w:r>
          </w:p>
        </w:tc>
        <w:tc>
          <w:tcPr>
            <w:tcW w:type="dxa" w:w="2620"/>
            <w:vAlign w:val="center"/>
            <w:shd w:fill="F8FAFC"/>
            <w:tcMar>
              <w:top w:w="90" w:type="dxa"/>
              <w:bottom w:w="90" w:type="dxa"/>
              <w:start w:w="120" w:type="dxa"/>
              <w:end w:w="120" w:type="dxa"/>
            </w:tcMar>
          </w:tcPr>
          <w:p>
            <w:pPr>
              <w:spacing w:after="0" w:line="247" w:lineRule="auto"/>
            </w:pPr>
            <w:r>
              <w:rPr>
                <w:rFonts w:ascii="Calibri" w:hAnsi="Calibri"/>
                <w:b w:val="0"/>
                <w:color w:val="1F2937"/>
                <w:sz w:val="14"/>
              </w:rPr>
              <w:t>Más coordinación y conocimiento</w:t>
            </w:r>
          </w:p>
        </w:tc>
        <w:tc>
          <w:tcPr>
            <w:tcW w:type="dxa" w:w="2620"/>
            <w:vAlign w:val="center"/>
            <w:shd w:fill="F8FAFC"/>
            <w:tcMar>
              <w:top w:w="90" w:type="dxa"/>
              <w:bottom w:w="90" w:type="dxa"/>
              <w:start w:w="120" w:type="dxa"/>
              <w:end w:w="120" w:type="dxa"/>
            </w:tcMar>
          </w:tcPr>
          <w:p>
            <w:pPr>
              <w:spacing w:after="0" w:line="247" w:lineRule="auto"/>
            </w:pPr>
            <w:r>
              <w:rPr>
                <w:rFonts w:ascii="Calibri" w:hAnsi="Calibri"/>
                <w:b w:val="0"/>
                <w:color w:val="1F2937"/>
                <w:sz w:val="14"/>
              </w:rPr>
              <w:t>Administración simple; validar custom</w:t>
            </w:r>
          </w:p>
        </w:tc>
        <w:tc>
          <w:tcPr>
            <w:tcW w:type="dxa" w:w="2620"/>
            <w:vAlign w:val="center"/>
            <w:shd w:fill="F8FAFC"/>
            <w:tcMar>
              <w:top w:w="90" w:type="dxa"/>
              <w:bottom w:w="90" w:type="dxa"/>
              <w:start w:w="120" w:type="dxa"/>
              <w:end w:w="120" w:type="dxa"/>
            </w:tcMar>
          </w:tcPr>
          <w:p>
            <w:pPr>
              <w:spacing w:after="0" w:line="247" w:lineRule="auto"/>
            </w:pPr>
            <w:r>
              <w:rPr>
                <w:rFonts w:ascii="Calibri" w:hAnsi="Calibri"/>
                <w:b w:val="0"/>
                <w:color w:val="1F2937"/>
                <w:sz w:val="14"/>
              </w:rPr>
              <w:t>Panel accesible y soporte 24/7; apps agregan terceros</w:t>
            </w:r>
          </w:p>
        </w:tc>
      </w:tr>
      <w:tr>
        <w:trPr/>
        <w:tc>
          <w:tcPr>
            <w:tcW w:type="dxa" w:w="1500"/>
            <w:vAlign w:val="center"/>
            <w:tcMar>
              <w:top w:w="90" w:type="dxa"/>
              <w:bottom w:w="90" w:type="dxa"/>
              <w:start w:w="120" w:type="dxa"/>
              <w:end w:w="120" w:type="dxa"/>
            </w:tcMar>
          </w:tcPr>
          <w:p>
            <w:pPr>
              <w:spacing w:after="0" w:line="247" w:lineRule="auto"/>
            </w:pPr>
            <w:r>
              <w:rPr>
                <w:rFonts w:ascii="Calibri" w:hAnsi="Calibri"/>
                <w:b/>
                <w:color w:val="1F2937"/>
                <w:sz w:val="14"/>
              </w:rPr>
              <w:t>Marketplaces</w:t>
            </w:r>
          </w:p>
        </w:tc>
        <w:tc>
          <w:tcPr>
            <w:tcW w:type="dxa" w:w="2620"/>
            <w:vAlign w:val="center"/>
            <w:tcMar>
              <w:top w:w="90" w:type="dxa"/>
              <w:bottom w:w="90" w:type="dxa"/>
              <w:start w:w="120" w:type="dxa"/>
              <w:end w:w="120" w:type="dxa"/>
            </w:tcMar>
          </w:tcPr>
          <w:p>
            <w:pPr>
              <w:spacing w:after="0" w:line="247" w:lineRule="auto"/>
            </w:pPr>
            <w:r>
              <w:rPr>
                <w:rFonts w:ascii="Calibri" w:hAnsi="Calibri"/>
                <w:b w:val="0"/>
                <w:color w:val="1F2937"/>
                <w:sz w:val="14"/>
              </w:rPr>
              <w:t>Producteca centraliza hoy</w:t>
            </w:r>
          </w:p>
        </w:tc>
        <w:tc>
          <w:tcPr>
            <w:tcW w:type="dxa" w:w="2620"/>
            <w:vAlign w:val="center"/>
            <w:tcMar>
              <w:top w:w="90" w:type="dxa"/>
              <w:bottom w:w="90" w:type="dxa"/>
              <w:start w:w="120" w:type="dxa"/>
              <w:end w:w="120" w:type="dxa"/>
            </w:tcMar>
          </w:tcPr>
          <w:p>
            <w:pPr>
              <w:spacing w:after="0" w:line="247" w:lineRule="auto"/>
            </w:pPr>
            <w:r>
              <w:rPr>
                <w:rFonts w:ascii="Calibri" w:hAnsi="Calibri"/>
                <w:b w:val="0"/>
                <w:color w:val="1F2937"/>
                <w:sz w:val="14"/>
              </w:rPr>
              <w:t>Astroselling documentado</w:t>
            </w:r>
          </w:p>
        </w:tc>
        <w:tc>
          <w:tcPr>
            <w:tcW w:type="dxa" w:w="2620"/>
            <w:vAlign w:val="center"/>
            <w:tcMar>
              <w:top w:w="90" w:type="dxa"/>
              <w:bottom w:w="90" w:type="dxa"/>
              <w:start w:w="120" w:type="dxa"/>
              <w:end w:w="120" w:type="dxa"/>
            </w:tcMar>
          </w:tcPr>
          <w:p>
            <w:pPr>
              <w:spacing w:after="0" w:line="247" w:lineRule="auto"/>
            </w:pPr>
            <w:r>
              <w:rPr>
                <w:rFonts w:ascii="Calibri" w:hAnsi="Calibri"/>
                <w:b w:val="0"/>
                <w:color w:val="1F2937"/>
                <w:sz w:val="14"/>
              </w:rPr>
              <w:t>Astroselling documentado</w:t>
            </w:r>
          </w:p>
        </w:tc>
      </w:tr>
      <w:tr>
        <w:trPr/>
        <w:tc>
          <w:tcPr>
            <w:tcW w:type="dxa" w:w="1500"/>
            <w:vAlign w:val="center"/>
            <w:shd w:fill="F8FAFC"/>
            <w:tcMar>
              <w:top w:w="90" w:type="dxa"/>
              <w:bottom w:w="90" w:type="dxa"/>
              <w:start w:w="120" w:type="dxa"/>
              <w:end w:w="120" w:type="dxa"/>
            </w:tcMar>
          </w:tcPr>
          <w:p>
            <w:pPr>
              <w:spacing w:after="0" w:line="247" w:lineRule="auto"/>
            </w:pPr>
            <w:r>
              <w:rPr>
                <w:rFonts w:ascii="Calibri" w:hAnsi="Calibri"/>
                <w:b/>
                <w:color w:val="1F2937"/>
                <w:sz w:val="14"/>
              </w:rPr>
              <w:t>4x3 + 6 cuotas</w:t>
            </w:r>
          </w:p>
        </w:tc>
        <w:tc>
          <w:tcPr>
            <w:tcW w:type="dxa" w:w="2620"/>
            <w:vAlign w:val="center"/>
            <w:shd w:fill="F8FAFC"/>
            <w:tcMar>
              <w:top w:w="90" w:type="dxa"/>
              <w:bottom w:w="90" w:type="dxa"/>
              <w:start w:w="120" w:type="dxa"/>
              <w:end w:w="120" w:type="dxa"/>
            </w:tcMar>
          </w:tcPr>
          <w:p>
            <w:pPr>
              <w:spacing w:after="0" w:line="247" w:lineRule="auto"/>
            </w:pPr>
            <w:r>
              <w:rPr>
                <w:rFonts w:ascii="Calibri" w:hAnsi="Calibri"/>
                <w:b w:val="0"/>
                <w:color w:val="1F2937"/>
                <w:sz w:val="14"/>
              </w:rPr>
              <w:t>No resuelto en la operación actual</w:t>
            </w:r>
          </w:p>
        </w:tc>
        <w:tc>
          <w:tcPr>
            <w:tcW w:type="dxa" w:w="2620"/>
            <w:vAlign w:val="center"/>
            <w:shd w:fill="F8FAFC"/>
            <w:tcMar>
              <w:top w:w="90" w:type="dxa"/>
              <w:bottom w:w="90" w:type="dxa"/>
              <w:start w:w="120" w:type="dxa"/>
              <w:end w:w="120" w:type="dxa"/>
            </w:tcMar>
          </w:tcPr>
          <w:p>
            <w:pPr>
              <w:spacing w:after="0" w:line="247" w:lineRule="auto"/>
            </w:pPr>
            <w:r>
              <w:rPr>
                <w:rFonts w:ascii="Calibri" w:hAnsi="Calibri"/>
                <w:b w:val="0"/>
                <w:color w:val="1F2937"/>
                <w:sz w:val="14"/>
              </w:rPr>
              <w:t>Debe demostrarse; posible app/custom</w:t>
            </w:r>
          </w:p>
        </w:tc>
        <w:tc>
          <w:tcPr>
            <w:tcW w:type="dxa" w:w="2620"/>
            <w:vAlign w:val="center"/>
            <w:shd w:fill="F8FAFC"/>
            <w:tcMar>
              <w:top w:w="90" w:type="dxa"/>
              <w:bottom w:w="90" w:type="dxa"/>
              <w:start w:w="120" w:type="dxa"/>
              <w:end w:w="120" w:type="dxa"/>
            </w:tcMar>
          </w:tcPr>
          <w:p>
            <w:pPr>
              <w:spacing w:after="0" w:line="247" w:lineRule="auto"/>
            </w:pPr>
            <w:r>
              <w:rPr>
                <w:rFonts w:ascii="Calibri" w:hAnsi="Calibri"/>
                <w:b w:val="0"/>
                <w:color w:val="1F2937"/>
                <w:sz w:val="14"/>
              </w:rPr>
              <w:t>Buy X Get Y nativo, pero condicionar por cuotas requiere validación/custom</w:t>
            </w:r>
          </w:p>
        </w:tc>
      </w:tr>
      <w:tr>
        <w:trPr/>
        <w:tc>
          <w:tcPr>
            <w:tcW w:type="dxa" w:w="1500"/>
            <w:vAlign w:val="center"/>
            <w:tcMar>
              <w:top w:w="90" w:type="dxa"/>
              <w:bottom w:w="90" w:type="dxa"/>
              <w:start w:w="120" w:type="dxa"/>
              <w:end w:w="120" w:type="dxa"/>
            </w:tcMar>
          </w:tcPr>
          <w:p>
            <w:pPr>
              <w:spacing w:after="0" w:line="247" w:lineRule="auto"/>
            </w:pPr>
            <w:r>
              <w:rPr>
                <w:rFonts w:ascii="Calibri" w:hAnsi="Calibri"/>
                <w:b/>
                <w:color w:val="1F2937"/>
                <w:sz w:val="14"/>
              </w:rPr>
              <w:t>Pagos Argentina</w:t>
            </w:r>
          </w:p>
        </w:tc>
        <w:tc>
          <w:tcPr>
            <w:tcW w:type="dxa" w:w="2620"/>
            <w:vAlign w:val="center"/>
            <w:tcMar>
              <w:top w:w="90" w:type="dxa"/>
              <w:bottom w:w="90" w:type="dxa"/>
              <w:start w:w="120" w:type="dxa"/>
              <w:end w:w="120" w:type="dxa"/>
            </w:tcMar>
          </w:tcPr>
          <w:p>
            <w:pPr>
              <w:spacing w:after="0" w:line="247" w:lineRule="auto"/>
            </w:pPr>
            <w:r>
              <w:rPr>
                <w:rFonts w:ascii="Calibri" w:hAnsi="Calibri"/>
                <w:b w:val="0"/>
                <w:color w:val="1F2937"/>
                <w:sz w:val="14"/>
              </w:rPr>
              <w:t>Ecosistema actual integrado</w:t>
            </w:r>
          </w:p>
        </w:tc>
        <w:tc>
          <w:tcPr>
            <w:tcW w:type="dxa" w:w="2620"/>
            <w:vAlign w:val="center"/>
            <w:tcMar>
              <w:top w:w="90" w:type="dxa"/>
              <w:bottom w:w="90" w:type="dxa"/>
              <w:start w:w="120" w:type="dxa"/>
              <w:end w:w="120" w:type="dxa"/>
            </w:tcMar>
          </w:tcPr>
          <w:p>
            <w:pPr>
              <w:spacing w:after="0" w:line="247" w:lineRule="auto"/>
            </w:pPr>
            <w:r>
              <w:rPr>
                <w:rFonts w:ascii="Calibri" w:hAnsi="Calibri"/>
                <w:b w:val="0"/>
                <w:color w:val="1F2937"/>
                <w:sz w:val="14"/>
              </w:rPr>
              <w:t>Ventaja de soluciones locales</w:t>
            </w:r>
          </w:p>
        </w:tc>
        <w:tc>
          <w:tcPr>
            <w:tcW w:type="dxa" w:w="2620"/>
            <w:vAlign w:val="center"/>
            <w:tcMar>
              <w:top w:w="90" w:type="dxa"/>
              <w:bottom w:w="90" w:type="dxa"/>
              <w:start w:w="120" w:type="dxa"/>
              <w:end w:w="120" w:type="dxa"/>
            </w:tcMar>
          </w:tcPr>
          <w:p>
            <w:pPr>
              <w:spacing w:after="0" w:line="247" w:lineRule="auto"/>
            </w:pPr>
            <w:r>
              <w:rPr>
                <w:rFonts w:ascii="Calibri" w:hAnsi="Calibri"/>
                <w:b w:val="0"/>
                <w:color w:val="1F2937"/>
                <w:sz w:val="14"/>
              </w:rPr>
              <w:t>Shopify Payments no figura para Argentina; proveedor externo</w:t>
            </w:r>
          </w:p>
        </w:tc>
      </w:tr>
      <w:tr>
        <w:trPr/>
        <w:tc>
          <w:tcPr>
            <w:tcW w:type="dxa" w:w="1500"/>
            <w:vAlign w:val="center"/>
            <w:shd w:fill="F8FAFC"/>
            <w:tcMar>
              <w:top w:w="90" w:type="dxa"/>
              <w:bottom w:w="90" w:type="dxa"/>
              <w:start w:w="120" w:type="dxa"/>
              <w:end w:w="120" w:type="dxa"/>
            </w:tcMar>
          </w:tcPr>
          <w:p>
            <w:pPr>
              <w:spacing w:after="0" w:line="247" w:lineRule="auto"/>
            </w:pPr>
            <w:r>
              <w:rPr>
                <w:rFonts w:ascii="Calibri" w:hAnsi="Calibri"/>
                <w:b/>
                <w:color w:val="1F2937"/>
                <w:sz w:val="14"/>
              </w:rPr>
              <w:t>Omnicanal/OMS</w:t>
            </w:r>
          </w:p>
        </w:tc>
        <w:tc>
          <w:tcPr>
            <w:tcW w:type="dxa" w:w="2620"/>
            <w:vAlign w:val="center"/>
            <w:shd w:fill="F8FAFC"/>
            <w:tcMar>
              <w:top w:w="90" w:type="dxa"/>
              <w:bottom w:w="90" w:type="dxa"/>
              <w:start w:w="120" w:type="dxa"/>
              <w:end w:w="120" w:type="dxa"/>
            </w:tcMar>
          </w:tcPr>
          <w:p>
            <w:pPr>
              <w:spacing w:after="0" w:line="247" w:lineRule="auto"/>
            </w:pPr>
            <w:r>
              <w:rPr>
                <w:rFonts w:ascii="Calibri" w:hAnsi="Calibri"/>
                <w:b w:val="0"/>
                <w:color w:val="1F2937"/>
                <w:sz w:val="14"/>
              </w:rPr>
              <w:t>Ventaja en operaciones complejas</w:t>
            </w:r>
          </w:p>
        </w:tc>
        <w:tc>
          <w:tcPr>
            <w:tcW w:type="dxa" w:w="2620"/>
            <w:vAlign w:val="center"/>
            <w:shd w:fill="F8FAFC"/>
            <w:tcMar>
              <w:top w:w="90" w:type="dxa"/>
              <w:bottom w:w="90" w:type="dxa"/>
              <w:start w:w="120" w:type="dxa"/>
              <w:end w:w="120" w:type="dxa"/>
            </w:tcMar>
          </w:tcPr>
          <w:p>
            <w:pPr>
              <w:spacing w:after="0" w:line="247" w:lineRule="auto"/>
            </w:pPr>
            <w:r>
              <w:rPr>
                <w:rFonts w:ascii="Calibri" w:hAnsi="Calibri"/>
                <w:b w:val="0"/>
                <w:color w:val="1F2937"/>
                <w:sz w:val="14"/>
              </w:rPr>
              <w:t>Más acotado</w:t>
            </w:r>
          </w:p>
        </w:tc>
        <w:tc>
          <w:tcPr>
            <w:tcW w:type="dxa" w:w="2620"/>
            <w:vAlign w:val="center"/>
            <w:shd w:fill="F8FAFC"/>
            <w:tcMar>
              <w:top w:w="90" w:type="dxa"/>
              <w:bottom w:w="90" w:type="dxa"/>
              <w:start w:w="120" w:type="dxa"/>
              <w:end w:w="120" w:type="dxa"/>
            </w:tcMar>
          </w:tcPr>
          <w:p>
            <w:pPr>
              <w:spacing w:after="0" w:line="247" w:lineRule="auto"/>
            </w:pPr>
            <w:r>
              <w:rPr>
                <w:rFonts w:ascii="Calibri" w:hAnsi="Calibri"/>
                <w:b w:val="0"/>
                <w:color w:val="1F2937"/>
                <w:sz w:val="14"/>
              </w:rPr>
              <w:t>Apps/POS; no equivale al OMS VTEX</w:t>
            </w:r>
          </w:p>
        </w:tc>
      </w:tr>
      <w:tr>
        <w:trPr/>
        <w:tc>
          <w:tcPr>
            <w:tcW w:type="dxa" w:w="1500"/>
            <w:vAlign w:val="center"/>
            <w:tcMar>
              <w:top w:w="90" w:type="dxa"/>
              <w:bottom w:w="90" w:type="dxa"/>
              <w:start w:w="120" w:type="dxa"/>
              <w:end w:w="120" w:type="dxa"/>
            </w:tcMar>
          </w:tcPr>
          <w:p>
            <w:pPr>
              <w:spacing w:after="0" w:line="247" w:lineRule="auto"/>
            </w:pPr>
            <w:r>
              <w:rPr>
                <w:rFonts w:ascii="Calibri" w:hAnsi="Calibri"/>
                <w:b/>
                <w:color w:val="1F2937"/>
                <w:sz w:val="14"/>
              </w:rPr>
              <w:t>Riesgo</w:t>
            </w:r>
          </w:p>
        </w:tc>
        <w:tc>
          <w:tcPr>
            <w:tcW w:type="dxa" w:w="2620"/>
            <w:vAlign w:val="center"/>
            <w:tcMar>
              <w:top w:w="90" w:type="dxa"/>
              <w:bottom w:w="90" w:type="dxa"/>
              <w:start w:w="120" w:type="dxa"/>
              <w:end w:w="120" w:type="dxa"/>
            </w:tcMar>
          </w:tcPr>
          <w:p>
            <w:pPr>
              <w:spacing w:after="0" w:line="247" w:lineRule="auto"/>
            </w:pPr>
            <w:r>
              <w:rPr>
                <w:rFonts w:ascii="Calibri" w:hAnsi="Calibri"/>
                <w:b w:val="0"/>
                <w:color w:val="1F2937"/>
                <w:sz w:val="14"/>
              </w:rPr>
              <w:t>Costo y dependencia técnica</w:t>
            </w:r>
          </w:p>
        </w:tc>
        <w:tc>
          <w:tcPr>
            <w:tcW w:type="dxa" w:w="2620"/>
            <w:vAlign w:val="center"/>
            <w:tcMar>
              <w:top w:w="90" w:type="dxa"/>
              <w:bottom w:w="90" w:type="dxa"/>
              <w:start w:w="120" w:type="dxa"/>
              <w:end w:w="120" w:type="dxa"/>
            </w:tcMar>
          </w:tcPr>
          <w:p>
            <w:pPr>
              <w:spacing w:after="0" w:line="247" w:lineRule="auto"/>
            </w:pPr>
            <w:r>
              <w:rPr>
                <w:rFonts w:ascii="Calibri" w:hAnsi="Calibri"/>
                <w:b w:val="0"/>
                <w:color w:val="1F2937"/>
                <w:sz w:val="14"/>
              </w:rPr>
              <w:t>Límites y dependencia de apps</w:t>
            </w:r>
          </w:p>
        </w:tc>
        <w:tc>
          <w:tcPr>
            <w:tcW w:type="dxa" w:w="2620"/>
            <w:vAlign w:val="center"/>
            <w:tcMar>
              <w:top w:w="90" w:type="dxa"/>
              <w:bottom w:w="90" w:type="dxa"/>
              <w:start w:w="120" w:type="dxa"/>
              <w:end w:w="120" w:type="dxa"/>
            </w:tcMar>
          </w:tcPr>
          <w:p>
            <w:pPr>
              <w:spacing w:after="0" w:line="247" w:lineRule="auto"/>
            </w:pPr>
            <w:r>
              <w:rPr>
                <w:rFonts w:ascii="Calibri" w:hAnsi="Calibri"/>
                <w:b w:val="0"/>
                <w:color w:val="1F2937"/>
                <w:sz w:val="14"/>
              </w:rPr>
              <w:t>Dolarización, pagos externos y costo de apps</w:t>
            </w:r>
          </w:p>
        </w:tc>
      </w:tr>
    </w:tbl>
    <w:p>
      <w:pPr>
        <w:keepLines/>
        <w:spacing w:after="40"/>
      </w:pPr>
    </w:p>
    <w:p>
      <w:pPr>
        <w:pStyle w:val="Heading2"/>
        <w:keepNext/>
        <w:keepLines/>
      </w:pPr>
      <w:r>
        <w:t>Ventajas principales de VTEX</w:t>
      </w:r>
    </w:p>
    <w:p>
      <w:pPr>
        <w:pStyle w:val="ListBullet"/>
        <w:keepLines/>
        <w:ind w:left="720" w:hanging="360"/>
      </w:pPr>
      <w:r>
        <w:rPr>
          <w:rFonts w:ascii="Calibri" w:hAnsi="Calibri"/>
          <w:color w:val="1F2937"/>
        </w:rPr>
        <w:t>Escalabilidad y control: mejor preparada para reglas comerciales, inventario, OMS, marketplaces y operaciones complejas.</w:t>
      </w:r>
    </w:p>
    <w:p>
      <w:pPr>
        <w:pStyle w:val="ListBullet"/>
        <w:keepLines/>
        <w:ind w:left="720" w:hanging="360"/>
      </w:pPr>
      <w:r>
        <w:rPr>
          <w:rFonts w:ascii="Calibri" w:hAnsi="Calibri"/>
          <w:color w:val="1F2937"/>
        </w:rPr>
        <w:t>Extensibilidad: permite construir diferenciadores mediante VTEX IO, APIs y opciones composables/headless.</w:t>
      </w:r>
    </w:p>
    <w:p>
      <w:pPr>
        <w:pStyle w:val="ListBullet"/>
        <w:keepLines/>
        <w:ind w:left="720" w:hanging="360"/>
      </w:pPr>
      <w:r>
        <w:rPr>
          <w:rFonts w:ascii="Calibri" w:hAnsi="Calibri"/>
          <w:color w:val="1F2937"/>
        </w:rPr>
        <w:t>Continuidad: evita una migración de catálogo, SEO, promociones, clientes, analytics y procesos ya estabilizados.</w:t>
      </w:r>
    </w:p>
    <w:p>
      <w:pPr>
        <w:pStyle w:val="ListBullet"/>
        <w:keepLines/>
        <w:ind w:left="720" w:hanging="360"/>
      </w:pPr>
      <w:r>
        <w:rPr>
          <w:rFonts w:ascii="Calibri" w:hAnsi="Calibri"/>
          <w:color w:val="1F2937"/>
        </w:rPr>
        <w:t>Aprovechamiento de activos existentes: conserva la app personalizada de cuotas/promociones y el conocimiento acumulado.</w:t>
      </w:r>
    </w:p>
    <w:p>
      <w:pPr>
        <w:pStyle w:val="Heading2"/>
        <w:keepNext/>
        <w:keepLines/>
      </w:pPr>
      <w:r>
        <w:t>Desventajas principales de VTEX</w:t>
      </w:r>
    </w:p>
    <w:p>
      <w:pPr>
        <w:pStyle w:val="ListBullet"/>
        <w:keepLines/>
        <w:ind w:left="720" w:hanging="360"/>
      </w:pPr>
      <w:r>
        <w:rPr>
          <w:rFonts w:ascii="Calibri" w:hAnsi="Calibri"/>
          <w:color w:val="1F2937"/>
        </w:rPr>
        <w:t>Costo total y complejidad más altos: plataforma, Producteca, Pirce, aplicaciones y horas de desarrollo deben analizarse como un conjunto.</w:t>
      </w:r>
    </w:p>
    <w:p>
      <w:pPr>
        <w:pStyle w:val="ListBullet"/>
        <w:keepLines/>
        <w:ind w:left="720" w:hanging="360"/>
      </w:pPr>
      <w:r>
        <w:rPr>
          <w:rFonts w:ascii="Calibri" w:hAnsi="Calibri"/>
          <w:color w:val="1F2937"/>
        </w:rPr>
        <w:t>Mayor dependencia de especialistas: cambios y diagnósticos pueden involucrar a más de un proveedor.</w:t>
      </w:r>
    </w:p>
    <w:p>
      <w:pPr>
        <w:pStyle w:val="ListBullet"/>
        <w:keepLines/>
        <w:ind w:left="720" w:hanging="360"/>
      </w:pPr>
      <w:r>
        <w:rPr>
          <w:rFonts w:ascii="Calibri" w:hAnsi="Calibri"/>
          <w:color w:val="1F2937"/>
        </w:rPr>
        <w:t>Limitación promocional observada: la configuración actual no permite condicionar una promoción como 4x3 exclusivamente al pago en 6 cuotas.</w:t>
      </w:r>
    </w:p>
    <w:p>
      <w:pPr>
        <w:pStyle w:val="ListBullet"/>
        <w:keepLines/>
        <w:ind w:left="720" w:hanging="360"/>
      </w:pPr>
      <w:r>
        <w:rPr>
          <w:rFonts w:ascii="Calibri" w:hAnsi="Calibri"/>
          <w:color w:val="1F2937"/>
        </w:rPr>
        <w:t>Carga operativa para un equipo reducido: administrar reglas, integraciones e incidentes puede concentrarse en pocas personas.</w:t>
      </w:r>
    </w:p>
    <w:p>
      <w:pPr>
        <w:pStyle w:val="ListBullet"/>
        <w:keepLines/>
        <w:ind w:left="720" w:hanging="360"/>
      </w:pPr>
      <w:r>
        <w:rPr>
          <w:rFonts w:ascii="Calibri" w:hAnsi="Calibri"/>
          <w:color w:val="1F2937"/>
        </w:rPr>
        <w:t>Riesgo de sobredimensionamiento: si la operación es esencialmente una tienda B2C estándar más Mercado Libre, parte de la capacidad puede no generar retorno.</w:t>
      </w:r>
    </w:p>
    <w:p>
      <w:pPr>
        <w:pStyle w:val="ListBullet"/>
        <w:keepLines/>
        <w:ind w:left="720" w:hanging="360"/>
      </w:pPr>
      <w:r>
        <w:rPr>
          <w:rFonts w:ascii="Calibri" w:hAnsi="Calibri"/>
          <w:color w:val="1F2937"/>
        </w:rPr>
        <w:t>Gobernanza exigente: se necesita definir qué sistema manda sobre catálogo, stock, precio y pedidos.</w:t>
      </w:r>
    </w:p>
    <w:p>
      <w:pPr>
        <w:pStyle w:val="Heading2"/>
        <w:keepNext/>
        <w:keepLines/>
      </w:pPr>
      <w:r>
        <w:t>Ventajas principales de Tiendanube Evolución</w:t>
      </w:r>
    </w:p>
    <w:p>
      <w:pPr>
        <w:pStyle w:val="ListBullet"/>
        <w:keepLines/>
        <w:ind w:left="720" w:hanging="360"/>
      </w:pPr>
      <w:r>
        <w:rPr>
          <w:rFonts w:ascii="Calibri" w:hAnsi="Calibri"/>
          <w:color w:val="1F2937"/>
        </w:rPr>
        <w:t>Menor barrera operativa: puesta en marcha, administración y capacitación más simples.</w:t>
      </w:r>
    </w:p>
    <w:p>
      <w:pPr>
        <w:pStyle w:val="ListBullet"/>
        <w:keepLines/>
        <w:ind w:left="720" w:hanging="360"/>
      </w:pPr>
      <w:r>
        <w:rPr>
          <w:rFonts w:ascii="Calibri" w:hAnsi="Calibri"/>
          <w:color w:val="1F2937"/>
        </w:rPr>
        <w:t>Propuesta integral: el plan puede reunir plataforma, acompañamiento, migración y condiciones comerciales específicas para la marca.</w:t>
      </w:r>
    </w:p>
    <w:p>
      <w:pPr>
        <w:pStyle w:val="ListBullet"/>
        <w:keepLines/>
        <w:ind w:left="720" w:hanging="360"/>
      </w:pPr>
      <w:r>
        <w:rPr>
          <w:rFonts w:ascii="Calibri" w:hAnsi="Calibri"/>
          <w:color w:val="1F2937"/>
        </w:rPr>
        <w:t>Acompañamiento: Evolución publica especialista dedicado, soporte prioritario y migración asistida, valiosos para una dotación reducida.</w:t>
      </w:r>
    </w:p>
    <w:p>
      <w:pPr>
        <w:pStyle w:val="ListBullet"/>
        <w:keepLines/>
        <w:ind w:left="720" w:hanging="360"/>
      </w:pPr>
      <w:r>
        <w:rPr>
          <w:rFonts w:ascii="Calibri" w:hAnsi="Calibri"/>
          <w:color w:val="1F2937"/>
        </w:rPr>
        <w:t>Ecosistema local B2C: pagos, cuotas, envíos y aplicaciones pensadas para negocios argentinos.</w:t>
      </w:r>
    </w:p>
    <w:p>
      <w:pPr>
        <w:pStyle w:val="ListBullet"/>
        <w:keepLines/>
        <w:ind w:left="720" w:hanging="360"/>
      </w:pPr>
      <w:r>
        <w:rPr>
          <w:rFonts w:ascii="Calibri" w:hAnsi="Calibri"/>
          <w:color w:val="1F2937"/>
        </w:rPr>
        <w:t>Diseño y desarrollo: Evolución publica acceso al front-end, APIs y personalización avanzada.</w:t>
      </w:r>
    </w:p>
    <w:p>
      <w:pPr>
        <w:pStyle w:val="ListBullet"/>
        <w:keepLines/>
        <w:ind w:left="720" w:hanging="360"/>
      </w:pPr>
      <w:r>
        <w:rPr>
          <w:rFonts w:ascii="Calibri" w:hAnsi="Calibri"/>
          <w:color w:val="1F2937"/>
        </w:rPr>
        <w:t>Compatibilidad documentada con Astroselling: sincronización de precio y stock, publicación y centralización de ventas multicanal.</w:t>
      </w:r>
    </w:p>
    <w:p>
      <w:pPr>
        <w:pStyle w:val="Heading2"/>
        <w:keepNext/>
        <w:keepLines/>
      </w:pPr>
      <w:r>
        <w:t>Desventajas principales de Tiendanube Evolución</w:t>
      </w:r>
    </w:p>
    <w:p>
      <w:pPr>
        <w:pStyle w:val="ListBullet"/>
        <w:keepLines/>
        <w:ind w:left="720" w:hanging="360"/>
      </w:pPr>
      <w:r>
        <w:rPr>
          <w:rFonts w:ascii="Calibri" w:hAnsi="Calibri"/>
          <w:color w:val="1F2937"/>
        </w:rPr>
        <w:t>Menor profundidad para casos complejos: hay que validar promociones, múltiples inventarios, fulfillment, permisos y flujos especiales.</w:t>
      </w:r>
    </w:p>
    <w:p>
      <w:pPr>
        <w:pStyle w:val="ListBullet"/>
        <w:keepLines/>
        <w:ind w:left="720" w:hanging="360"/>
      </w:pPr>
      <w:r>
        <w:rPr>
          <w:rFonts w:ascii="Calibri" w:hAnsi="Calibri"/>
          <w:color w:val="1F2937"/>
        </w:rPr>
        <w:t>Precio no público: Evolución se cotiza a medida; con ventas bajas, debe demostrar un ahorro real frente al TCO actual.</w:t>
      </w:r>
    </w:p>
    <w:p>
      <w:pPr>
        <w:pStyle w:val="ListBullet"/>
        <w:keepLines/>
        <w:ind w:left="720" w:hanging="360"/>
      </w:pPr>
      <w:r>
        <w:rPr>
          <w:rFonts w:ascii="Calibri" w:hAnsi="Calibri"/>
          <w:color w:val="1F2937"/>
        </w:rPr>
        <w:t>La combinación 4x3 + 6 cuotas no debe darse por resuelta: puede requerir una aplicación, una personalización o una adaptación de la mecánica comercial.</w:t>
      </w:r>
    </w:p>
    <w:p>
      <w:pPr>
        <w:pStyle w:val="ListBullet"/>
        <w:keepLines/>
        <w:ind w:left="720" w:hanging="360"/>
      </w:pPr>
      <w:r>
        <w:rPr>
          <w:rFonts w:ascii="Calibri" w:hAnsi="Calibri"/>
          <w:color w:val="1F2937"/>
        </w:rPr>
        <w:t>Dependencia de aplicaciones: el costo y la confiabilidad final no son solo los del plan base.</w:t>
      </w:r>
    </w:p>
    <w:p>
      <w:pPr>
        <w:pStyle w:val="ListBullet"/>
        <w:keepLines/>
        <w:ind w:left="720" w:hanging="360"/>
      </w:pPr>
      <w:r>
        <w:rPr>
          <w:rFonts w:ascii="Calibri" w:hAnsi="Calibri"/>
          <w:color w:val="1F2937"/>
        </w:rPr>
        <w:t>Comisiones: con medios de pago externos, los planes publicados contemplan costo por transacción.</w:t>
      </w:r>
    </w:p>
    <w:p>
      <w:pPr>
        <w:pStyle w:val="ListBullet"/>
        <w:keepLines/>
        <w:ind w:left="720" w:hanging="360"/>
      </w:pPr>
      <w:r>
        <w:rPr>
          <w:rFonts w:ascii="Calibri" w:hAnsi="Calibri"/>
          <w:color w:val="1F2937"/>
        </w:rPr>
        <w:t>Costo de migración y posible pérdida funcional: SEO, customizaciones, históricos y procesos deben reconstruirse o resignarse.</w:t>
      </w:r>
    </w:p>
    <w:p>
      <w:pPr>
        <w:pStyle w:val="Heading2"/>
        <w:keepNext/>
        <w:keepLines/>
      </w:pPr>
      <w:r>
        <w:t>Ventajas principales de Shopify</w:t>
      </w:r>
    </w:p>
    <w:p>
      <w:pPr>
        <w:pStyle w:val="ListBullet"/>
        <w:keepLines/>
        <w:ind w:left="720" w:hanging="360"/>
      </w:pPr>
      <w:r>
        <w:rPr>
          <w:rFonts w:ascii="Calibri" w:hAnsi="Calibri"/>
          <w:color w:val="1F2937"/>
        </w:rPr>
        <w:t>Diseño y ecosistema: amplia oferta de temas, aplicaciones, partners y opciones de desarrollo custom.</w:t>
      </w:r>
    </w:p>
    <w:p>
      <w:pPr>
        <w:pStyle w:val="ListBullet"/>
        <w:keepLines/>
        <w:ind w:left="720" w:hanging="360"/>
      </w:pPr>
      <w:r>
        <w:rPr>
          <w:rFonts w:ascii="Calibri" w:hAnsi="Calibri"/>
          <w:color w:val="1F2937"/>
        </w:rPr>
        <w:t>Operación accesible: panel integrado, productos ilimitados y soporte 24/7 en español publicado por Shopify.</w:t>
      </w:r>
    </w:p>
    <w:p>
      <w:pPr>
        <w:pStyle w:val="ListBullet"/>
        <w:keepLines/>
        <w:ind w:left="720" w:hanging="360"/>
      </w:pPr>
      <w:r>
        <w:rPr>
          <w:rFonts w:ascii="Calibri" w:hAnsi="Calibri"/>
          <w:color w:val="1F2937"/>
        </w:rPr>
        <w:t>Promociones base: incluye descuentos Compra X y obtén Y, útiles como punto de partida para un 4x3.</w:t>
      </w:r>
    </w:p>
    <w:p>
      <w:pPr>
        <w:pStyle w:val="ListBullet"/>
        <w:keepLines/>
        <w:ind w:left="720" w:hanging="360"/>
      </w:pPr>
      <w:r>
        <w:rPr>
          <w:rFonts w:ascii="Calibri" w:hAnsi="Calibri"/>
          <w:color w:val="1F2937"/>
        </w:rPr>
        <w:t>Compatibilidad con Astroselling: Shopify figura entre las integraciones oficiales publicadas por Astroselling.</w:t>
      </w:r>
    </w:p>
    <w:p>
      <w:pPr>
        <w:pStyle w:val="Heading2"/>
        <w:keepNext/>
        <w:keepLines/>
      </w:pPr>
      <w:r>
        <w:t>Desventajas principales de Shopify</w:t>
      </w:r>
    </w:p>
    <w:p>
      <w:pPr>
        <w:pStyle w:val="ListBullet"/>
        <w:keepLines/>
        <w:ind w:left="720" w:hanging="360"/>
      </w:pPr>
      <w:r>
        <w:rPr>
          <w:rFonts w:ascii="Calibri" w:hAnsi="Calibri"/>
          <w:color w:val="1F2937"/>
        </w:rPr>
        <w:t>Costos dolarizados: plan, temas, aplicaciones y desarrollo quedan expuestos al tipo de cambio.</w:t>
      </w:r>
    </w:p>
    <w:p>
      <w:pPr>
        <w:pStyle w:val="ListBullet"/>
        <w:ind w:left="720" w:hanging="360"/>
      </w:pPr>
      <w:r>
        <w:rPr>
          <w:rFonts w:ascii="Calibri" w:hAnsi="Calibri"/>
          <w:color w:val="1F2937"/>
        </w:rPr>
        <w:t>Pagos en Argentina: Argentina no figura en la lista oficial de Shopify Payments, por lo que debe utilizarse un proveedor externo y contemplar el cargo adicional de Shopify según el plan.</w:t>
      </w:r>
    </w:p>
    <w:p>
      <w:pPr>
        <w:pStyle w:val="ListBullet"/>
        <w:keepLines/>
        <w:ind w:left="720" w:hanging="360"/>
      </w:pPr>
      <w:r>
        <w:rPr>
          <w:rFonts w:ascii="Calibri" w:hAnsi="Calibri"/>
          <w:color w:val="1F2937"/>
        </w:rPr>
        <w:t>Promoción 4x3 + 6 cuotas: el Compra X y obtén Y nativo no demuestra por sí solo la condición sobre cantidad de cuotas; puede requerir app o desarrollo con Shopify Functions.</w:t>
      </w:r>
    </w:p>
    <w:p>
      <w:pPr>
        <w:pStyle w:val="ListBullet"/>
        <w:keepLines/>
        <w:ind w:left="720" w:hanging="360"/>
      </w:pPr>
      <w:r>
        <w:rPr>
          <w:rFonts w:ascii="Calibri" w:hAnsi="Calibri"/>
          <w:color w:val="1F2937"/>
        </w:rPr>
        <w:t>Dependencia del ecosistema: una tienda simple puede terminar sumando varias aplicaciones, costos y responsables.</w:t>
      </w:r>
    </w:p>
    <w:p>
      <w:pPr>
        <w:pStyle w:val="Heading2"/>
        <w:keepNext/>
        <w:keepLines/>
      </w:pPr>
      <w:r>
        <w:t>Caso crítico: promociones condicionadas por cuotas</w:t>
      </w:r>
    </w:p>
    <w:p>
      <w:pPr>
        <w:spacing w:after="120"/>
      </w:pPr>
      <w:r>
        <w:rPr>
          <w:rFonts w:ascii="Calibri" w:hAnsi="Calibri"/>
          <w:i w:val="0"/>
          <w:color w:val="1F2937"/>
        </w:rPr>
        <w:t>La promoción debe evaluarse como un flujo completo y no solo como un descuento. El requisito de referencia es: el cliente compra cuatro neumáticos, recibe el beneficio 4x3 únicamente si elige 6 cuotas, y no debe obtenerlo con otra financiación. Ninguna alternativa se considera apta hasta demostrar este comportamiento de punta a punta.</w:t>
      </w:r>
    </w:p>
    <w:tbl>
      <w:tblPr>
        <w:tblStyle w:val="TableGrid"/>
        <w:tblW w:type="dxa" w:w="9360"/>
        <w:jc w:val="left"/>
        <w:tblLayout w:type="fixed"/>
        <w:tblLook w:firstColumn="1" w:firstRow="1" w:lastColumn="0" w:lastRow="0" w:noHBand="0" w:noVBand="1" w:val="04A0"/>
        <w:tblInd w:type="dxa" w:w="120"/>
      </w:tblPr>
      <w:tblGrid>
        <w:gridCol w:w="2000"/>
        <w:gridCol w:w="7360"/>
      </w:tblGrid>
      <w:tr>
        <w:trPr>
          <w:tblHeader w:val="true"/>
        </w:trPr>
        <w:tc>
          <w:tcPr>
            <w:tcW w:type="dxa" w:w="2000"/>
            <w:shd w:fill="17365D"/>
            <w:vAlign w:val="center"/>
            <w:tcMar>
              <w:top w:w="90" w:type="dxa"/>
              <w:bottom w:w="90" w:type="dxa"/>
              <w:start w:w="120" w:type="dxa"/>
              <w:end w:w="120" w:type="dxa"/>
            </w:tcMar>
          </w:tcPr>
          <w:p>
            <w:pPr>
              <w:spacing w:after="0"/>
              <w:jc w:val="left"/>
            </w:pPr>
            <w:r>
              <w:rPr>
                <w:rFonts w:ascii="Calibri" w:hAnsi="Calibri"/>
                <w:b/>
                <w:color w:val="FFFFFF"/>
                <w:sz w:val="17"/>
              </w:rPr>
              <w:t>Dimensión</w:t>
            </w:r>
          </w:p>
        </w:tc>
        <w:tc>
          <w:tcPr>
            <w:tcW w:type="dxa" w:w="7360"/>
            <w:shd w:fill="17365D"/>
            <w:vAlign w:val="center"/>
            <w:tcMar>
              <w:top w:w="90" w:type="dxa"/>
              <w:bottom w:w="90" w:type="dxa"/>
              <w:start w:w="120" w:type="dxa"/>
              <w:end w:w="120" w:type="dxa"/>
            </w:tcMar>
          </w:tcPr>
          <w:p>
            <w:pPr>
              <w:spacing w:after="0"/>
              <w:jc w:val="left"/>
            </w:pPr>
            <w:r>
              <w:rPr>
                <w:rFonts w:ascii="Calibri" w:hAnsi="Calibri"/>
                <w:b/>
                <w:color w:val="FFFFFF"/>
                <w:sz w:val="17"/>
              </w:rPr>
              <w:t>Condición que debe demostrarse</w:t>
            </w:r>
          </w:p>
        </w:tc>
      </w:tr>
      <w:tr>
        <w:trPr/>
        <w:tc>
          <w:tcPr>
            <w:tcW w:type="dxa" w:w="2000"/>
            <w:vAlign w:val="center"/>
            <w:tcMar>
              <w:top w:w="90" w:type="dxa"/>
              <w:bottom w:w="90" w:type="dxa"/>
              <w:start w:w="120" w:type="dxa"/>
              <w:end w:w="120" w:type="dxa"/>
            </w:tcMar>
          </w:tcPr>
          <w:p>
            <w:pPr>
              <w:spacing w:after="0" w:line="247" w:lineRule="auto"/>
            </w:pPr>
            <w:r>
              <w:rPr>
                <w:rFonts w:ascii="Calibri" w:hAnsi="Calibri"/>
                <w:b/>
                <w:color w:val="1F2937"/>
                <w:sz w:val="17"/>
              </w:rPr>
              <w:t>Elegibilidad</w:t>
            </w:r>
          </w:p>
        </w:tc>
        <w:tc>
          <w:tcPr>
            <w:tcW w:type="dxa" w:w="7360"/>
            <w:vAlign w:val="center"/>
            <w:tcMar>
              <w:top w:w="90" w:type="dxa"/>
              <w:bottom w:w="90" w:type="dxa"/>
              <w:start w:w="120" w:type="dxa"/>
              <w:end w:w="120" w:type="dxa"/>
            </w:tcMar>
          </w:tcPr>
          <w:p>
            <w:pPr>
              <w:spacing w:after="0" w:line="247" w:lineRule="auto"/>
            </w:pPr>
            <w:r>
              <w:rPr>
                <w:rFonts w:ascii="Calibri" w:hAnsi="Calibri"/>
                <w:b w:val="0"/>
                <w:color w:val="1F2937"/>
                <w:sz w:val="17"/>
              </w:rPr>
              <w:t>Cuatro unidades/SKU o familia válidos; definir si admite mezcla de medidas</w:t>
            </w:r>
          </w:p>
        </w:tc>
      </w:tr>
      <w:tr>
        <w:trPr/>
        <w:tc>
          <w:tcPr>
            <w:tcW w:type="dxa" w:w="2000"/>
            <w:vAlign w:val="center"/>
            <w:shd w:fill="F8FAFC"/>
            <w:tcMar>
              <w:top w:w="90" w:type="dxa"/>
              <w:bottom w:w="90" w:type="dxa"/>
              <w:start w:w="120" w:type="dxa"/>
              <w:end w:w="120" w:type="dxa"/>
            </w:tcMar>
          </w:tcPr>
          <w:p>
            <w:pPr>
              <w:spacing w:after="0" w:line="247" w:lineRule="auto"/>
            </w:pPr>
            <w:r>
              <w:rPr>
                <w:rFonts w:ascii="Calibri" w:hAnsi="Calibri"/>
                <w:b/>
                <w:color w:val="1F2937"/>
                <w:sz w:val="17"/>
              </w:rPr>
              <w:t>Financiación</w:t>
            </w:r>
          </w:p>
        </w:tc>
        <w:tc>
          <w:tcPr>
            <w:tcW w:type="dxa" w:w="7360"/>
            <w:vAlign w:val="center"/>
            <w:shd w:fill="F8FAFC"/>
            <w:tcMar>
              <w:top w:w="90" w:type="dxa"/>
              <w:bottom w:w="90" w:type="dxa"/>
              <w:start w:w="120" w:type="dxa"/>
              <w:end w:w="120" w:type="dxa"/>
            </w:tcMar>
          </w:tcPr>
          <w:p>
            <w:pPr>
              <w:spacing w:after="0" w:line="247" w:lineRule="auto"/>
            </w:pPr>
            <w:r>
              <w:rPr>
                <w:rFonts w:ascii="Calibri" w:hAnsi="Calibri"/>
                <w:b w:val="0"/>
                <w:color w:val="1F2937"/>
                <w:sz w:val="17"/>
              </w:rPr>
              <w:t>Beneficio activo solo con 6 cuotas y medio/tarjeta habilitados</w:t>
            </w:r>
          </w:p>
        </w:tc>
      </w:tr>
      <w:tr>
        <w:trPr/>
        <w:tc>
          <w:tcPr>
            <w:tcW w:type="dxa" w:w="2000"/>
            <w:vAlign w:val="center"/>
            <w:tcMar>
              <w:top w:w="90" w:type="dxa"/>
              <w:bottom w:w="90" w:type="dxa"/>
              <w:start w:w="120" w:type="dxa"/>
              <w:end w:w="120" w:type="dxa"/>
            </w:tcMar>
          </w:tcPr>
          <w:p>
            <w:pPr>
              <w:spacing w:after="0" w:line="247" w:lineRule="auto"/>
            </w:pPr>
            <w:r>
              <w:rPr>
                <w:rFonts w:ascii="Calibri" w:hAnsi="Calibri"/>
                <w:b/>
                <w:color w:val="1F2937"/>
                <w:sz w:val="17"/>
              </w:rPr>
              <w:t>Exclusiones</w:t>
            </w:r>
          </w:p>
        </w:tc>
        <w:tc>
          <w:tcPr>
            <w:tcW w:type="dxa" w:w="7360"/>
            <w:vAlign w:val="center"/>
            <w:tcMar>
              <w:top w:w="90" w:type="dxa"/>
              <w:bottom w:w="90" w:type="dxa"/>
              <w:start w:w="120" w:type="dxa"/>
              <w:end w:w="120" w:type="dxa"/>
            </w:tcMar>
          </w:tcPr>
          <w:p>
            <w:pPr>
              <w:spacing w:after="0" w:line="247" w:lineRule="auto"/>
            </w:pPr>
            <w:r>
              <w:rPr>
                <w:rFonts w:ascii="Calibri" w:hAnsi="Calibri"/>
                <w:b w:val="0"/>
                <w:color w:val="1F2937"/>
                <w:sz w:val="17"/>
              </w:rPr>
              <w:t>No combinar con descuentos incompatibles, cupones o listas especiales</w:t>
            </w:r>
          </w:p>
        </w:tc>
      </w:tr>
      <w:tr>
        <w:trPr/>
        <w:tc>
          <w:tcPr>
            <w:tcW w:type="dxa" w:w="2000"/>
            <w:vAlign w:val="center"/>
            <w:shd w:fill="F8FAFC"/>
            <w:tcMar>
              <w:top w:w="90" w:type="dxa"/>
              <w:bottom w:w="90" w:type="dxa"/>
              <w:start w:w="120" w:type="dxa"/>
              <w:end w:w="120" w:type="dxa"/>
            </w:tcMar>
          </w:tcPr>
          <w:p>
            <w:pPr>
              <w:spacing w:after="0" w:line="247" w:lineRule="auto"/>
            </w:pPr>
            <w:r>
              <w:rPr>
                <w:rFonts w:ascii="Calibri" w:hAnsi="Calibri"/>
                <w:b/>
                <w:color w:val="1F2937"/>
                <w:sz w:val="17"/>
              </w:rPr>
              <w:t>Comunicación</w:t>
            </w:r>
          </w:p>
        </w:tc>
        <w:tc>
          <w:tcPr>
            <w:tcW w:type="dxa" w:w="7360"/>
            <w:vAlign w:val="center"/>
            <w:shd w:fill="F8FAFC"/>
            <w:tcMar>
              <w:top w:w="90" w:type="dxa"/>
              <w:bottom w:w="90" w:type="dxa"/>
              <w:start w:w="120" w:type="dxa"/>
              <w:end w:w="120" w:type="dxa"/>
            </w:tcMar>
          </w:tcPr>
          <w:p>
            <w:pPr>
              <w:spacing w:after="0" w:line="247" w:lineRule="auto"/>
            </w:pPr>
            <w:r>
              <w:rPr>
                <w:rFonts w:ascii="Calibri" w:hAnsi="Calibri"/>
                <w:b w:val="0"/>
                <w:color w:val="1F2937"/>
                <w:sz w:val="17"/>
              </w:rPr>
              <w:t>Condición visible y consistente en PLP, PDP, carrito y checkout</w:t>
            </w:r>
          </w:p>
        </w:tc>
      </w:tr>
      <w:tr>
        <w:trPr/>
        <w:tc>
          <w:tcPr>
            <w:tcW w:type="dxa" w:w="2000"/>
            <w:vAlign w:val="center"/>
            <w:tcMar>
              <w:top w:w="90" w:type="dxa"/>
              <w:bottom w:w="90" w:type="dxa"/>
              <w:start w:w="120" w:type="dxa"/>
              <w:end w:w="120" w:type="dxa"/>
            </w:tcMar>
          </w:tcPr>
          <w:p>
            <w:pPr>
              <w:spacing w:after="0" w:line="247" w:lineRule="auto"/>
            </w:pPr>
            <w:r>
              <w:rPr>
                <w:rFonts w:ascii="Calibri" w:hAnsi="Calibri"/>
                <w:b/>
                <w:color w:val="1F2937"/>
                <w:sz w:val="17"/>
              </w:rPr>
              <w:t>Operación</w:t>
            </w:r>
          </w:p>
        </w:tc>
        <w:tc>
          <w:tcPr>
            <w:tcW w:type="dxa" w:w="7360"/>
            <w:vAlign w:val="center"/>
            <w:tcMar>
              <w:top w:w="90" w:type="dxa"/>
              <w:bottom w:w="90" w:type="dxa"/>
              <w:start w:w="120" w:type="dxa"/>
              <w:end w:w="120" w:type="dxa"/>
            </w:tcMar>
          </w:tcPr>
          <w:p>
            <w:pPr>
              <w:spacing w:after="0" w:line="247" w:lineRule="auto"/>
            </w:pPr>
            <w:r>
              <w:rPr>
                <w:rFonts w:ascii="Calibri" w:hAnsi="Calibri"/>
                <w:b w:val="0"/>
                <w:color w:val="1F2937"/>
                <w:sz w:val="17"/>
              </w:rPr>
              <w:t>Crear, pausar y auditar la promo sin intervención técnica recurrente</w:t>
            </w:r>
          </w:p>
        </w:tc>
      </w:tr>
      <w:tr>
        <w:trPr/>
        <w:tc>
          <w:tcPr>
            <w:tcW w:type="dxa" w:w="2000"/>
            <w:vAlign w:val="center"/>
            <w:shd w:fill="F8FAFC"/>
            <w:tcMar>
              <w:top w:w="90" w:type="dxa"/>
              <w:bottom w:w="90" w:type="dxa"/>
              <w:start w:w="120" w:type="dxa"/>
              <w:end w:w="120" w:type="dxa"/>
            </w:tcMar>
          </w:tcPr>
          <w:p>
            <w:pPr>
              <w:spacing w:after="0" w:line="247" w:lineRule="auto"/>
            </w:pPr>
            <w:r>
              <w:rPr>
                <w:rFonts w:ascii="Calibri" w:hAnsi="Calibri"/>
                <w:b/>
                <w:color w:val="1F2937"/>
                <w:sz w:val="17"/>
              </w:rPr>
              <w:t>Control</w:t>
            </w:r>
          </w:p>
        </w:tc>
        <w:tc>
          <w:tcPr>
            <w:tcW w:type="dxa" w:w="7360"/>
            <w:vAlign w:val="center"/>
            <w:shd w:fill="F8FAFC"/>
            <w:tcMar>
              <w:top w:w="90" w:type="dxa"/>
              <w:bottom w:w="90" w:type="dxa"/>
              <w:start w:w="120" w:type="dxa"/>
              <w:end w:w="120" w:type="dxa"/>
            </w:tcMar>
          </w:tcPr>
          <w:p>
            <w:pPr>
              <w:spacing w:after="0" w:line="247" w:lineRule="auto"/>
            </w:pPr>
            <w:r>
              <w:rPr>
                <w:rFonts w:ascii="Calibri" w:hAnsi="Calibri"/>
                <w:b w:val="0"/>
                <w:color w:val="1F2937"/>
                <w:sz w:val="17"/>
              </w:rPr>
              <w:t>Pedido final conserva beneficio, cuotas y trazabilidad correctos</w:t>
            </w:r>
          </w:p>
        </w:tc>
      </w:tr>
    </w:tbl>
    <w:p>
      <w:pPr>
        <w:keepLines/>
        <w:spacing w:after="40"/>
      </w:pPr>
    </w:p>
    <w:p>
      <w:pPr>
        <w:pStyle w:val="Heading2"/>
        <w:keepNext/>
        <w:keepLines/>
      </w:pPr>
      <w:r>
        <w:t>Operación con una dotación reducida</w:t>
      </w:r>
    </w:p>
    <w:p>
      <w:pPr>
        <w:pStyle w:val="ListBullet"/>
        <w:keepLines/>
        <w:ind w:left="720" w:hanging="360"/>
      </w:pPr>
      <w:r>
        <w:rPr>
          <w:rFonts w:ascii="Calibri" w:hAnsi="Calibri"/>
          <w:color w:val="1F2937"/>
        </w:rPr>
        <w:t>Priorizar un único panel o un flujo claramente documentado para catálogo, precio, stock, promociones y pedidos.</w:t>
      </w:r>
    </w:p>
    <w:p>
      <w:pPr>
        <w:pStyle w:val="ListBullet"/>
        <w:keepLines/>
        <w:ind w:left="720" w:hanging="360"/>
      </w:pPr>
      <w:r>
        <w:rPr>
          <w:rFonts w:ascii="Calibri" w:hAnsi="Calibri"/>
          <w:color w:val="1F2937"/>
        </w:rPr>
        <w:t>Evitar controles manuales diarios y conciliaciones entre varias fuentes de verdad.</w:t>
      </w:r>
    </w:p>
    <w:p>
      <w:pPr>
        <w:pStyle w:val="ListBullet"/>
        <w:keepLines/>
        <w:ind w:left="720" w:hanging="360"/>
      </w:pPr>
      <w:r>
        <w:rPr>
          <w:rFonts w:ascii="Calibri" w:hAnsi="Calibri"/>
          <w:color w:val="1F2937"/>
        </w:rPr>
        <w:t>Definir un solo dueño del incidente aunque participen plataforma, Astroselling/Producteca y desarrollador.</w:t>
      </w:r>
    </w:p>
    <w:p>
      <w:pPr>
        <w:pStyle w:val="ListBullet"/>
        <w:keepLines/>
        <w:ind w:left="720" w:hanging="360"/>
      </w:pPr>
      <w:r>
        <w:rPr>
          <w:rFonts w:ascii="Calibri" w:hAnsi="Calibri"/>
          <w:color w:val="1F2937"/>
        </w:rPr>
        <w:t>Medir horas semanales, cantidad de pasos por cambio, errores y dependencia de soporte externo.</w:t>
      </w:r>
    </w:p>
    <w:p>
      <w:pPr>
        <w:pStyle w:val="ListBullet"/>
        <w:keepLines/>
        <w:ind w:left="720" w:hanging="360"/>
      </w:pPr>
      <w:r>
        <w:rPr>
          <w:rFonts w:ascii="Calibri" w:hAnsi="Calibri"/>
          <w:color w:val="1F2937"/>
        </w:rPr>
        <w:t>No elegir una solución más barata si traslada el ahorro a trabajo manual que el equipo no puede absorber.</w:t>
      </w:r>
    </w:p>
    <w:p>
      <w:pPr>
        <w:pStyle w:val="Heading2"/>
        <w:keepNext/>
        <w:keepLines/>
      </w:pPr>
      <w:r>
        <w:t>Demostración visual custom en Tiendanube Evolución y Shopify</w:t>
      </w:r>
    </w:p>
    <w:p>
      <w:pPr>
        <w:spacing w:after="120"/>
      </w:pPr>
      <w:r>
        <w:rPr>
          <w:rFonts w:ascii="Calibri" w:hAnsi="Calibri"/>
          <w:i w:val="0"/>
          <w:color w:val="1F2937"/>
        </w:rPr>
        <w:t>La comparación no debe hacerse entre una VTEX trabajada durante años y plantillas básicas. Para que la decisión sea justa, se propone construir demos comparables en Tiendanube Evolución y Shopify con la identidad real de Saracho y medirlas contra las pantallas actuales y el recorrido B2C móvil.</w:t>
      </w:r>
    </w:p>
    <w:tbl>
      <w:tblPr>
        <w:tblStyle w:val="TableGrid"/>
        <w:tblW w:type="dxa" w:w="9360"/>
        <w:jc w:val="left"/>
        <w:tblLayout w:type="fixed"/>
        <w:tblLook w:firstColumn="1" w:firstRow="1" w:lastColumn="0" w:lastRow="0" w:noHBand="0" w:noVBand="1" w:val="04A0"/>
        <w:tblInd w:type="dxa" w:w="120"/>
      </w:tblPr>
      <w:tblGrid>
        <w:gridCol w:w="2100"/>
        <w:gridCol w:w="7260"/>
      </w:tblGrid>
      <w:tr>
        <w:trPr>
          <w:tblHeader w:val="true"/>
        </w:trPr>
        <w:tc>
          <w:tcPr>
            <w:tcW w:type="dxa" w:w="2100"/>
            <w:shd w:fill="17365D"/>
            <w:vAlign w:val="center"/>
            <w:tcMar>
              <w:top w:w="90" w:type="dxa"/>
              <w:bottom w:w="90" w:type="dxa"/>
              <w:start w:w="120" w:type="dxa"/>
              <w:end w:w="120" w:type="dxa"/>
            </w:tcMar>
          </w:tcPr>
          <w:p>
            <w:pPr>
              <w:spacing w:after="0"/>
              <w:jc w:val="left"/>
            </w:pPr>
            <w:r>
              <w:rPr>
                <w:rFonts w:ascii="Calibri" w:hAnsi="Calibri"/>
                <w:b/>
                <w:color w:val="FFFFFF"/>
                <w:sz w:val="17"/>
              </w:rPr>
              <w:t>Pantalla/tema</w:t>
            </w:r>
          </w:p>
        </w:tc>
        <w:tc>
          <w:tcPr>
            <w:tcW w:type="dxa" w:w="7260"/>
            <w:shd w:fill="17365D"/>
            <w:vAlign w:val="center"/>
            <w:tcMar>
              <w:top w:w="90" w:type="dxa"/>
              <w:bottom w:w="90" w:type="dxa"/>
              <w:start w:w="120" w:type="dxa"/>
              <w:end w:w="120" w:type="dxa"/>
            </w:tcMar>
          </w:tcPr>
          <w:p>
            <w:pPr>
              <w:spacing w:after="0"/>
              <w:jc w:val="left"/>
            </w:pPr>
            <w:r>
              <w:rPr>
                <w:rFonts w:ascii="Calibri" w:hAnsi="Calibri"/>
                <w:b/>
                <w:color w:val="FFFFFF"/>
                <w:sz w:val="17"/>
              </w:rPr>
              <w:t>Qué debe demostrar la demo custom</w:t>
            </w:r>
          </w:p>
        </w:tc>
      </w:tr>
      <w:tr>
        <w:trPr/>
        <w:tc>
          <w:tcPr>
            <w:tcW w:type="dxa" w:w="2100"/>
            <w:vAlign w:val="center"/>
            <w:tcMar>
              <w:top w:w="90" w:type="dxa"/>
              <w:bottom w:w="90" w:type="dxa"/>
              <w:start w:w="120" w:type="dxa"/>
              <w:end w:w="120" w:type="dxa"/>
            </w:tcMar>
          </w:tcPr>
          <w:p>
            <w:pPr>
              <w:spacing w:after="0" w:line="247" w:lineRule="auto"/>
            </w:pPr>
            <w:r>
              <w:rPr>
                <w:rFonts w:ascii="Calibri" w:hAnsi="Calibri"/>
                <w:b/>
                <w:color w:val="1F2937"/>
                <w:sz w:val="17"/>
              </w:rPr>
              <w:t>Home</w:t>
            </w:r>
          </w:p>
        </w:tc>
        <w:tc>
          <w:tcPr>
            <w:tcW w:type="dxa" w:w="7260"/>
            <w:vAlign w:val="center"/>
            <w:tcMar>
              <w:top w:w="90" w:type="dxa"/>
              <w:bottom w:w="90" w:type="dxa"/>
              <w:start w:w="120" w:type="dxa"/>
              <w:end w:w="120" w:type="dxa"/>
            </w:tcMar>
          </w:tcPr>
          <w:p>
            <w:pPr>
              <w:spacing w:after="0" w:line="247" w:lineRule="auto"/>
            </w:pPr>
            <w:r>
              <w:rPr>
                <w:rFonts w:ascii="Calibri" w:hAnsi="Calibri"/>
                <w:b w:val="0"/>
                <w:color w:val="1F2937"/>
                <w:sz w:val="17"/>
              </w:rPr>
              <w:t>Marca, propuesta comercial, financiación, categorías y acceso rápido por medida</w:t>
            </w:r>
          </w:p>
        </w:tc>
      </w:tr>
      <w:tr>
        <w:trPr/>
        <w:tc>
          <w:tcPr>
            <w:tcW w:type="dxa" w:w="2100"/>
            <w:vAlign w:val="center"/>
            <w:shd w:fill="F8FAFC"/>
            <w:tcMar>
              <w:top w:w="90" w:type="dxa"/>
              <w:bottom w:w="90" w:type="dxa"/>
              <w:start w:w="120" w:type="dxa"/>
              <w:end w:w="120" w:type="dxa"/>
            </w:tcMar>
          </w:tcPr>
          <w:p>
            <w:pPr>
              <w:spacing w:after="0" w:line="247" w:lineRule="auto"/>
            </w:pPr>
            <w:r>
              <w:rPr>
                <w:rFonts w:ascii="Calibri" w:hAnsi="Calibri"/>
                <w:b/>
                <w:color w:val="1F2937"/>
                <w:sz w:val="17"/>
              </w:rPr>
              <w:t>Listado / PLP</w:t>
            </w:r>
          </w:p>
        </w:tc>
        <w:tc>
          <w:tcPr>
            <w:tcW w:type="dxa" w:w="7260"/>
            <w:vAlign w:val="center"/>
            <w:shd w:fill="F8FAFC"/>
            <w:tcMar>
              <w:top w:w="90" w:type="dxa"/>
              <w:bottom w:w="90" w:type="dxa"/>
              <w:start w:w="120" w:type="dxa"/>
              <w:end w:w="120" w:type="dxa"/>
            </w:tcMar>
          </w:tcPr>
          <w:p>
            <w:pPr>
              <w:spacing w:after="0" w:line="247" w:lineRule="auto"/>
            </w:pPr>
            <w:r>
              <w:rPr>
                <w:rFonts w:ascii="Calibri" w:hAnsi="Calibri"/>
                <w:b w:val="0"/>
                <w:color w:val="1F2937"/>
                <w:sz w:val="17"/>
              </w:rPr>
              <w:t>Filtros claros, tarjetas de producto, precio, cuotas, stock y navegación móvil</w:t>
            </w:r>
          </w:p>
        </w:tc>
      </w:tr>
      <w:tr>
        <w:trPr/>
        <w:tc>
          <w:tcPr>
            <w:tcW w:type="dxa" w:w="2100"/>
            <w:vAlign w:val="center"/>
            <w:tcMar>
              <w:top w:w="90" w:type="dxa"/>
              <w:bottom w:w="90" w:type="dxa"/>
              <w:start w:w="120" w:type="dxa"/>
              <w:end w:w="120" w:type="dxa"/>
            </w:tcMar>
          </w:tcPr>
          <w:p>
            <w:pPr>
              <w:spacing w:after="0" w:line="247" w:lineRule="auto"/>
            </w:pPr>
            <w:r>
              <w:rPr>
                <w:rFonts w:ascii="Calibri" w:hAnsi="Calibri"/>
                <w:b/>
                <w:color w:val="1F2937"/>
                <w:sz w:val="17"/>
              </w:rPr>
              <w:t>Ficha / PDP</w:t>
            </w:r>
          </w:p>
        </w:tc>
        <w:tc>
          <w:tcPr>
            <w:tcW w:type="dxa" w:w="7260"/>
            <w:vAlign w:val="center"/>
            <w:tcMar>
              <w:top w:w="90" w:type="dxa"/>
              <w:bottom w:w="90" w:type="dxa"/>
              <w:start w:w="120" w:type="dxa"/>
              <w:end w:w="120" w:type="dxa"/>
            </w:tcMar>
          </w:tcPr>
          <w:p>
            <w:pPr>
              <w:spacing w:after="0" w:line="247" w:lineRule="auto"/>
            </w:pPr>
            <w:r>
              <w:rPr>
                <w:rFonts w:ascii="Calibri" w:hAnsi="Calibri"/>
                <w:b w:val="0"/>
                <w:color w:val="1F2937"/>
                <w:sz w:val="17"/>
              </w:rPr>
              <w:t>Medida, atributos, beneficios, envío, cuotas, confianza y llamado a compra</w:t>
            </w:r>
          </w:p>
        </w:tc>
      </w:tr>
      <w:tr>
        <w:trPr/>
        <w:tc>
          <w:tcPr>
            <w:tcW w:type="dxa" w:w="2100"/>
            <w:vAlign w:val="center"/>
            <w:shd w:fill="F8FAFC"/>
            <w:tcMar>
              <w:top w:w="90" w:type="dxa"/>
              <w:bottom w:w="90" w:type="dxa"/>
              <w:start w:w="120" w:type="dxa"/>
              <w:end w:w="120" w:type="dxa"/>
            </w:tcMar>
          </w:tcPr>
          <w:p>
            <w:pPr>
              <w:spacing w:after="0" w:line="247" w:lineRule="auto"/>
            </w:pPr>
            <w:r>
              <w:rPr>
                <w:rFonts w:ascii="Calibri" w:hAnsi="Calibri"/>
                <w:b/>
                <w:color w:val="1F2937"/>
                <w:sz w:val="17"/>
              </w:rPr>
              <w:t>Carrito y checkout</w:t>
            </w:r>
          </w:p>
        </w:tc>
        <w:tc>
          <w:tcPr>
            <w:tcW w:type="dxa" w:w="7260"/>
            <w:vAlign w:val="center"/>
            <w:shd w:fill="F8FAFC"/>
            <w:tcMar>
              <w:top w:w="90" w:type="dxa"/>
              <w:bottom w:w="90" w:type="dxa"/>
              <w:start w:w="120" w:type="dxa"/>
              <w:end w:w="120" w:type="dxa"/>
            </w:tcMar>
          </w:tcPr>
          <w:p>
            <w:pPr>
              <w:spacing w:after="0" w:line="247" w:lineRule="auto"/>
            </w:pPr>
            <w:r>
              <w:rPr>
                <w:rFonts w:ascii="Calibri" w:hAnsi="Calibri"/>
                <w:b w:val="0"/>
                <w:color w:val="1F2937"/>
                <w:sz w:val="17"/>
              </w:rPr>
              <w:t>Continuidad visual, claridad de costos, pagos, envío y ausencia de fricción</w:t>
            </w:r>
          </w:p>
        </w:tc>
      </w:tr>
      <w:tr>
        <w:trPr/>
        <w:tc>
          <w:tcPr>
            <w:tcW w:type="dxa" w:w="2100"/>
            <w:vAlign w:val="center"/>
            <w:tcMar>
              <w:top w:w="90" w:type="dxa"/>
              <w:bottom w:w="90" w:type="dxa"/>
              <w:start w:w="120" w:type="dxa"/>
              <w:end w:w="120" w:type="dxa"/>
            </w:tcMar>
          </w:tcPr>
          <w:p>
            <w:pPr>
              <w:spacing w:after="0" w:line="247" w:lineRule="auto"/>
            </w:pPr>
            <w:r>
              <w:rPr>
                <w:rFonts w:ascii="Calibri" w:hAnsi="Calibri"/>
                <w:b/>
                <w:color w:val="1F2937"/>
                <w:sz w:val="17"/>
              </w:rPr>
              <w:t>Móvil</w:t>
            </w:r>
          </w:p>
        </w:tc>
        <w:tc>
          <w:tcPr>
            <w:tcW w:type="dxa" w:w="7260"/>
            <w:vAlign w:val="center"/>
            <w:tcMar>
              <w:top w:w="90" w:type="dxa"/>
              <w:bottom w:w="90" w:type="dxa"/>
              <w:start w:w="120" w:type="dxa"/>
              <w:end w:w="120" w:type="dxa"/>
            </w:tcMar>
          </w:tcPr>
          <w:p>
            <w:pPr>
              <w:spacing w:after="0" w:line="247" w:lineRule="auto"/>
            </w:pPr>
            <w:r>
              <w:rPr>
                <w:rFonts w:ascii="Calibri" w:hAnsi="Calibri"/>
                <w:b w:val="0"/>
                <w:color w:val="1F2937"/>
                <w:sz w:val="17"/>
              </w:rPr>
              <w:t>Jerarquía, velocidad percibida, botones, filtros y lectura sin pérdida de identidad</w:t>
            </w:r>
          </w:p>
        </w:tc>
      </w:tr>
      <w:tr>
        <w:trPr/>
        <w:tc>
          <w:tcPr>
            <w:tcW w:type="dxa" w:w="2100"/>
            <w:vAlign w:val="center"/>
            <w:shd w:fill="F8FAFC"/>
            <w:tcMar>
              <w:top w:w="90" w:type="dxa"/>
              <w:bottom w:w="90" w:type="dxa"/>
              <w:start w:w="120" w:type="dxa"/>
              <w:end w:w="120" w:type="dxa"/>
            </w:tcMar>
          </w:tcPr>
          <w:p>
            <w:pPr>
              <w:spacing w:after="0" w:line="247" w:lineRule="auto"/>
            </w:pPr>
            <w:r>
              <w:rPr>
                <w:rFonts w:ascii="Calibri" w:hAnsi="Calibri"/>
                <w:b/>
                <w:color w:val="1F2937"/>
                <w:sz w:val="17"/>
              </w:rPr>
              <w:t>SEO y analítica</w:t>
            </w:r>
          </w:p>
        </w:tc>
        <w:tc>
          <w:tcPr>
            <w:tcW w:type="dxa" w:w="7260"/>
            <w:vAlign w:val="center"/>
            <w:shd w:fill="F8FAFC"/>
            <w:tcMar>
              <w:top w:w="90" w:type="dxa"/>
              <w:bottom w:w="90" w:type="dxa"/>
              <w:start w:w="120" w:type="dxa"/>
              <w:end w:w="120" w:type="dxa"/>
            </w:tcMar>
          </w:tcPr>
          <w:p>
            <w:pPr>
              <w:spacing w:after="0" w:line="247" w:lineRule="auto"/>
            </w:pPr>
            <w:r>
              <w:rPr>
                <w:rFonts w:ascii="Calibri" w:hAnsi="Calibri"/>
                <w:b w:val="0"/>
                <w:color w:val="1F2937"/>
                <w:sz w:val="17"/>
              </w:rPr>
              <w:t>Metadatos, URLs, datos estructurados, eventos y medición comparables</w:t>
            </w:r>
          </w:p>
        </w:tc>
      </w:tr>
    </w:tbl>
    <w:p>
      <w:pPr>
        <w:keepLines/>
        <w:spacing w:after="40"/>
      </w:pPr>
    </w:p>
    <w:p>
      <w:pPr>
        <w:keepLines/>
        <w:spacing w:before="80" w:after="80"/>
      </w:pPr>
      <w:r>
        <w:rPr>
          <w:rFonts w:ascii="Calibri" w:hAnsi="Calibri"/>
          <w:i/>
          <w:color w:val="5B6573"/>
          <w:sz w:val="16"/>
        </w:rPr>
        <w:t>Tiendanube Evolución publica diseño 100% personalizable, acceso al front-end, APIs y soluciones a medida; el alcance contractual debe quedar incluido en la propuesta.</w:t>
      </w:r>
      <w:hyperlink r:id="rId11">
        <w:r>
          <w:rPr>
            <w:color w:val="2E74B5"/>
            <w:u w:val="single"/>
            <w:rFonts w:ascii="Calibri" w:hAnsi="Calibri"/>
          </w:rPr>
          <w:t> Abrir fuente</w:t>
        </w:r>
      </w:hyperlink>
    </w:p>
    <w:p>
      <w:pPr>
        <w:keepLines/>
        <w:spacing w:before="80" w:after="80"/>
      </w:pPr>
      <w:r>
        <w:rPr>
          <w:rFonts w:ascii="Calibri" w:hAnsi="Calibri"/>
          <w:i/>
          <w:color w:val="5B6573"/>
          <w:sz w:val="16"/>
        </w:rPr>
        <w:t>Shopify publica temas, tienda online completa y opciones de personalización; las funciones y costos dependen del plan, las apps y el alcance custom.</w:t>
      </w:r>
      <w:hyperlink r:id="rId12">
        <w:r>
          <w:rPr>
            <w:color w:val="2E74B5"/>
            <w:u w:val="single"/>
            <w:rFonts w:ascii="Calibri" w:hAnsi="Calibri"/>
          </w:rPr>
          <w:t> Abrir fuente</w:t>
        </w:r>
      </w:hyperlink>
    </w:p>
    <w:p>
      <w:pPr>
        <w:pStyle w:val="Heading1"/>
        <w:keepNext/>
        <w:keepLines/>
      </w:pPr>
      <w:r>
        <w:t>3. Evaluación de los ecosistemas posibles</w:t>
      </w:r>
    </w:p>
    <w:tbl>
      <w:tblPr>
        <w:tblStyle w:val="TableGrid"/>
        <w:tblW w:type="dxa" w:w="9360"/>
        <w:jc w:val="left"/>
        <w:tblLayout w:type="fixed"/>
        <w:tblLook w:firstColumn="1" w:firstRow="1" w:lastColumn="0" w:lastRow="0" w:noHBand="0" w:noVBand="1" w:val="04A0"/>
        <w:tblInd w:type="dxa" w:w="120"/>
      </w:tblPr>
      <w:tblGrid>
        <w:gridCol w:w="2350"/>
        <w:gridCol w:w="2850"/>
        <w:gridCol w:w="2960"/>
        <w:gridCol w:w="1200"/>
      </w:tblGrid>
      <w:tr>
        <w:trPr>
          <w:tblHeader w:val="true"/>
        </w:trPr>
        <w:tc>
          <w:tcPr>
            <w:tcW w:type="dxa" w:w="2350"/>
            <w:shd w:fill="17365D"/>
            <w:vAlign w:val="center"/>
            <w:tcMar>
              <w:top w:w="90" w:type="dxa"/>
              <w:bottom w:w="90" w:type="dxa"/>
              <w:start w:w="120" w:type="dxa"/>
              <w:end w:w="120" w:type="dxa"/>
            </w:tcMar>
          </w:tcPr>
          <w:p>
            <w:pPr>
              <w:spacing w:after="0"/>
              <w:jc w:val="left"/>
            </w:pPr>
            <w:r>
              <w:rPr>
                <w:rFonts w:ascii="Calibri" w:hAnsi="Calibri"/>
                <w:b/>
                <w:color w:val="FFFFFF"/>
                <w:sz w:val="17"/>
              </w:rPr>
              <w:t>Escenario</w:t>
            </w:r>
          </w:p>
        </w:tc>
        <w:tc>
          <w:tcPr>
            <w:tcW w:type="dxa" w:w="2850"/>
            <w:shd w:fill="17365D"/>
            <w:vAlign w:val="center"/>
            <w:tcMar>
              <w:top w:w="90" w:type="dxa"/>
              <w:bottom w:w="90" w:type="dxa"/>
              <w:start w:w="120" w:type="dxa"/>
              <w:end w:w="120" w:type="dxa"/>
            </w:tcMar>
          </w:tcPr>
          <w:p>
            <w:pPr>
              <w:spacing w:after="0"/>
              <w:jc w:val="left"/>
            </w:pPr>
            <w:r>
              <w:rPr>
                <w:rFonts w:ascii="Calibri" w:hAnsi="Calibri"/>
                <w:b/>
                <w:color w:val="FFFFFF"/>
                <w:sz w:val="17"/>
              </w:rPr>
              <w:t>Fortaleza</w:t>
            </w:r>
          </w:p>
        </w:tc>
        <w:tc>
          <w:tcPr>
            <w:tcW w:type="dxa" w:w="2960"/>
            <w:shd w:fill="17365D"/>
            <w:vAlign w:val="center"/>
            <w:tcMar>
              <w:top w:w="90" w:type="dxa"/>
              <w:bottom w:w="90" w:type="dxa"/>
              <w:start w:w="120" w:type="dxa"/>
              <w:end w:w="120" w:type="dxa"/>
            </w:tcMar>
          </w:tcPr>
          <w:p>
            <w:pPr>
              <w:spacing w:after="0"/>
              <w:jc w:val="left"/>
            </w:pPr>
            <w:r>
              <w:rPr>
                <w:rFonts w:ascii="Calibri" w:hAnsi="Calibri"/>
                <w:b/>
                <w:color w:val="FFFFFF"/>
                <w:sz w:val="17"/>
              </w:rPr>
              <w:t>Riesgo principal</w:t>
            </w:r>
          </w:p>
        </w:tc>
        <w:tc>
          <w:tcPr>
            <w:tcW w:type="dxa" w:w="1200"/>
            <w:shd w:fill="17365D"/>
            <w:vAlign w:val="center"/>
            <w:tcMar>
              <w:top w:w="90" w:type="dxa"/>
              <w:bottom w:w="90" w:type="dxa"/>
              <w:start w:w="120" w:type="dxa"/>
              <w:end w:w="120" w:type="dxa"/>
            </w:tcMar>
          </w:tcPr>
          <w:p>
            <w:pPr>
              <w:spacing w:after="0"/>
              <w:jc w:val="left"/>
            </w:pPr>
            <w:r>
              <w:rPr>
                <w:rFonts w:ascii="Calibri" w:hAnsi="Calibri"/>
                <w:b/>
                <w:color w:val="FFFFFF"/>
                <w:sz w:val="17"/>
              </w:rPr>
              <w:t>Juicio</w:t>
            </w:r>
          </w:p>
        </w:tc>
      </w:tr>
      <w:tr>
        <w:trPr/>
        <w:tc>
          <w:tcPr>
            <w:tcW w:type="dxa" w:w="2350"/>
            <w:vAlign w:val="center"/>
            <w:tcMar>
              <w:top w:w="90" w:type="dxa"/>
              <w:bottom w:w="90" w:type="dxa"/>
              <w:start w:w="120" w:type="dxa"/>
              <w:end w:w="120" w:type="dxa"/>
            </w:tcMar>
          </w:tcPr>
          <w:p>
            <w:pPr>
              <w:spacing w:after="0" w:line="247" w:lineRule="auto"/>
            </w:pPr>
            <w:r>
              <w:rPr>
                <w:rFonts w:ascii="Calibri" w:hAnsi="Calibri"/>
                <w:b/>
                <w:color w:val="1F2937"/>
                <w:sz w:val="15"/>
              </w:rPr>
              <w:t>A. VTEX + Producteca + Pirce</w:t>
            </w:r>
          </w:p>
        </w:tc>
        <w:tc>
          <w:tcPr>
            <w:tcW w:type="dxa" w:w="2850"/>
            <w:vAlign w:val="center"/>
            <w:tcMar>
              <w:top w:w="90" w:type="dxa"/>
              <w:bottom w:w="90" w:type="dxa"/>
              <w:start w:w="120" w:type="dxa"/>
              <w:end w:w="120" w:type="dxa"/>
            </w:tcMar>
          </w:tcPr>
          <w:p>
            <w:pPr>
              <w:spacing w:after="0" w:line="247" w:lineRule="auto"/>
            </w:pPr>
            <w:r>
              <w:rPr>
                <w:rFonts w:ascii="Calibri" w:hAnsi="Calibri"/>
                <w:b w:val="0"/>
                <w:color w:val="1F2937"/>
                <w:sz w:val="15"/>
              </w:rPr>
              <w:t>Integración VTEX documentada; continuidad de customizaciones y operación</w:t>
            </w:r>
          </w:p>
        </w:tc>
        <w:tc>
          <w:tcPr>
            <w:tcW w:type="dxa" w:w="2960"/>
            <w:vAlign w:val="center"/>
            <w:tcMar>
              <w:top w:w="90" w:type="dxa"/>
              <w:bottom w:w="90" w:type="dxa"/>
              <w:start w:w="120" w:type="dxa"/>
              <w:end w:w="120" w:type="dxa"/>
            </w:tcMar>
          </w:tcPr>
          <w:p>
            <w:pPr>
              <w:spacing w:after="0" w:line="247" w:lineRule="auto"/>
            </w:pPr>
            <w:r>
              <w:rPr>
                <w:rFonts w:ascii="Calibri" w:hAnsi="Calibri"/>
                <w:b w:val="0"/>
                <w:color w:val="1F2937"/>
                <w:sz w:val="15"/>
              </w:rPr>
              <w:t>Costo, complejidad y coordinación de tres proveedores</w:t>
            </w:r>
          </w:p>
        </w:tc>
        <w:tc>
          <w:tcPr>
            <w:tcW w:type="dxa" w:w="1200"/>
            <w:vAlign w:val="center"/>
            <w:tcMar>
              <w:top w:w="90" w:type="dxa"/>
              <w:bottom w:w="90" w:type="dxa"/>
              <w:start w:w="120" w:type="dxa"/>
              <w:end w:w="120" w:type="dxa"/>
            </w:tcMar>
          </w:tcPr>
          <w:p>
            <w:pPr>
              <w:spacing w:after="0" w:line="247" w:lineRule="auto"/>
            </w:pPr>
            <w:r>
              <w:rPr>
                <w:rFonts w:ascii="Calibri" w:hAnsi="Calibri"/>
                <w:b/>
                <w:color w:val="2E7D32"/>
                <w:sz w:val="15"/>
              </w:rPr>
              <w:t>Viable / base actual</w:t>
            </w:r>
          </w:p>
        </w:tc>
      </w:tr>
      <w:tr>
        <w:trPr/>
        <w:tc>
          <w:tcPr>
            <w:tcW w:type="dxa" w:w="2350"/>
            <w:vAlign w:val="center"/>
            <w:shd w:fill="F8FAFC"/>
            <w:tcMar>
              <w:top w:w="90" w:type="dxa"/>
              <w:bottom w:w="90" w:type="dxa"/>
              <w:start w:w="120" w:type="dxa"/>
              <w:end w:w="120" w:type="dxa"/>
            </w:tcMar>
          </w:tcPr>
          <w:p>
            <w:pPr>
              <w:spacing w:after="0" w:line="247" w:lineRule="auto"/>
            </w:pPr>
            <w:r>
              <w:rPr>
                <w:rFonts w:ascii="Calibri" w:hAnsi="Calibri"/>
                <w:b/>
                <w:color w:val="1F2937"/>
                <w:sz w:val="15"/>
              </w:rPr>
              <w:t>B. Tiendanube Evolución + Astroselling</w:t>
            </w:r>
          </w:p>
        </w:tc>
        <w:tc>
          <w:tcPr>
            <w:tcW w:type="dxa" w:w="2850"/>
            <w:vAlign w:val="center"/>
            <w:shd w:fill="F8FAFC"/>
            <w:tcMar>
              <w:top w:w="90" w:type="dxa"/>
              <w:bottom w:w="90" w:type="dxa"/>
              <w:start w:w="120" w:type="dxa"/>
              <w:end w:w="120" w:type="dxa"/>
            </w:tcMar>
          </w:tcPr>
          <w:p>
            <w:pPr>
              <w:spacing w:after="0" w:line="247" w:lineRule="auto"/>
            </w:pPr>
            <w:r>
              <w:rPr>
                <w:rFonts w:ascii="Calibri" w:hAnsi="Calibri"/>
                <w:b w:val="0"/>
                <w:color w:val="1F2937"/>
                <w:sz w:val="15"/>
              </w:rPr>
              <w:t>Propuesta local a medida, soporte dedicado, migración y conexión documentada</w:t>
            </w:r>
          </w:p>
        </w:tc>
        <w:tc>
          <w:tcPr>
            <w:tcW w:type="dxa" w:w="2960"/>
            <w:vAlign w:val="center"/>
            <w:shd w:fill="F8FAFC"/>
            <w:tcMar>
              <w:top w:w="90" w:type="dxa"/>
              <w:bottom w:w="90" w:type="dxa"/>
              <w:start w:w="120" w:type="dxa"/>
              <w:end w:w="120" w:type="dxa"/>
            </w:tcMar>
          </w:tcPr>
          <w:p>
            <w:pPr>
              <w:spacing w:after="0" w:line="247" w:lineRule="auto"/>
            </w:pPr>
            <w:r>
              <w:rPr>
                <w:rFonts w:ascii="Calibri" w:hAnsi="Calibri"/>
                <w:b w:val="0"/>
                <w:color w:val="1F2937"/>
                <w:sz w:val="15"/>
              </w:rPr>
              <w:t>Precio a cotizar; demostrar ahorro, 4x3 + 6 cuotas y diseño</w:t>
            </w:r>
          </w:p>
        </w:tc>
        <w:tc>
          <w:tcPr>
            <w:tcW w:type="dxa" w:w="1200"/>
            <w:vAlign w:val="center"/>
            <w:shd w:fill="F8FAFC"/>
            <w:tcMar>
              <w:top w:w="90" w:type="dxa"/>
              <w:bottom w:w="90" w:type="dxa"/>
              <w:start w:w="120" w:type="dxa"/>
              <w:end w:w="120" w:type="dxa"/>
            </w:tcMar>
          </w:tcPr>
          <w:p>
            <w:pPr>
              <w:spacing w:after="0" w:line="247" w:lineRule="auto"/>
            </w:pPr>
            <w:r>
              <w:rPr>
                <w:rFonts w:ascii="Calibri" w:hAnsi="Calibri"/>
                <w:b/>
                <w:color w:val="B36B00"/>
                <w:sz w:val="15"/>
              </w:rPr>
              <w:t>Alternativa a evaluar</w:t>
            </w:r>
          </w:p>
        </w:tc>
      </w:tr>
      <w:tr>
        <w:trPr/>
        <w:tc>
          <w:tcPr>
            <w:tcW w:type="dxa" w:w="2350"/>
            <w:vAlign w:val="center"/>
            <w:tcMar>
              <w:top w:w="90" w:type="dxa"/>
              <w:bottom w:w="90" w:type="dxa"/>
              <w:start w:w="120" w:type="dxa"/>
              <w:end w:w="120" w:type="dxa"/>
            </w:tcMar>
          </w:tcPr>
          <w:p>
            <w:pPr>
              <w:spacing w:after="0" w:line="247" w:lineRule="auto"/>
            </w:pPr>
            <w:r>
              <w:rPr>
                <w:rFonts w:ascii="Calibri" w:hAnsi="Calibri"/>
                <w:b/>
                <w:color w:val="1F2937"/>
                <w:sz w:val="15"/>
              </w:rPr>
              <w:t>C. Shopify + Astroselling</w:t>
            </w:r>
          </w:p>
        </w:tc>
        <w:tc>
          <w:tcPr>
            <w:tcW w:type="dxa" w:w="2850"/>
            <w:vAlign w:val="center"/>
            <w:tcMar>
              <w:top w:w="90" w:type="dxa"/>
              <w:bottom w:w="90" w:type="dxa"/>
              <w:start w:w="120" w:type="dxa"/>
              <w:end w:w="120" w:type="dxa"/>
            </w:tcMar>
          </w:tcPr>
          <w:p>
            <w:pPr>
              <w:spacing w:after="0" w:line="247" w:lineRule="auto"/>
            </w:pPr>
            <w:r>
              <w:rPr>
                <w:rFonts w:ascii="Calibri" w:hAnsi="Calibri"/>
                <w:b w:val="0"/>
                <w:color w:val="1F2937"/>
                <w:sz w:val="15"/>
              </w:rPr>
              <w:t>Buen diseño, ecosistema amplio y conexión Astroselling publicada</w:t>
            </w:r>
          </w:p>
        </w:tc>
        <w:tc>
          <w:tcPr>
            <w:tcW w:type="dxa" w:w="2960"/>
            <w:vAlign w:val="center"/>
            <w:tcMar>
              <w:top w:w="90" w:type="dxa"/>
              <w:bottom w:w="90" w:type="dxa"/>
              <w:start w:w="120" w:type="dxa"/>
              <w:end w:w="120" w:type="dxa"/>
            </w:tcMar>
          </w:tcPr>
          <w:p>
            <w:pPr>
              <w:spacing w:after="0" w:line="247" w:lineRule="auto"/>
            </w:pPr>
            <w:r>
              <w:rPr>
                <w:rFonts w:ascii="Calibri" w:hAnsi="Calibri"/>
                <w:b w:val="0"/>
                <w:color w:val="1F2937"/>
                <w:sz w:val="15"/>
              </w:rPr>
              <w:t>USD, pagos externos en Argentina, apps y promo por cuotas</w:t>
            </w:r>
          </w:p>
        </w:tc>
        <w:tc>
          <w:tcPr>
            <w:tcW w:type="dxa" w:w="1200"/>
            <w:vAlign w:val="center"/>
            <w:tcMar>
              <w:top w:w="90" w:type="dxa"/>
              <w:bottom w:w="90" w:type="dxa"/>
              <w:start w:w="120" w:type="dxa"/>
              <w:end w:w="120" w:type="dxa"/>
            </w:tcMar>
          </w:tcPr>
          <w:p>
            <w:pPr>
              <w:spacing w:after="0" w:line="247" w:lineRule="auto"/>
            </w:pPr>
            <w:r>
              <w:rPr>
                <w:rFonts w:ascii="Calibri" w:hAnsi="Calibri"/>
                <w:b/>
                <w:color w:val="B36B00"/>
                <w:sz w:val="15"/>
              </w:rPr>
              <w:t>Alternativa a evaluar</w:t>
            </w:r>
          </w:p>
        </w:tc>
      </w:tr>
      <w:tr>
        <w:trPr/>
        <w:tc>
          <w:tcPr>
            <w:tcW w:type="dxa" w:w="2350"/>
            <w:vAlign w:val="center"/>
            <w:shd w:fill="F8FAFC"/>
            <w:tcMar>
              <w:top w:w="90" w:type="dxa"/>
              <w:bottom w:w="90" w:type="dxa"/>
              <w:start w:w="120" w:type="dxa"/>
              <w:end w:w="120" w:type="dxa"/>
            </w:tcMar>
          </w:tcPr>
          <w:p>
            <w:pPr>
              <w:spacing w:after="0" w:line="247" w:lineRule="auto"/>
            </w:pPr>
            <w:r>
              <w:rPr>
                <w:rFonts w:ascii="Calibri" w:hAnsi="Calibri"/>
                <w:b/>
                <w:color w:val="1F2937"/>
                <w:sz w:val="15"/>
              </w:rPr>
              <w:t>D. Evolución/Shopify + Producteca</w:t>
            </w:r>
          </w:p>
        </w:tc>
        <w:tc>
          <w:tcPr>
            <w:tcW w:type="dxa" w:w="2850"/>
            <w:vAlign w:val="center"/>
            <w:shd w:fill="F8FAFC"/>
            <w:tcMar>
              <w:top w:w="90" w:type="dxa"/>
              <w:bottom w:w="90" w:type="dxa"/>
              <w:start w:w="120" w:type="dxa"/>
              <w:end w:w="120" w:type="dxa"/>
            </w:tcMar>
          </w:tcPr>
          <w:p>
            <w:pPr>
              <w:spacing w:after="0" w:line="247" w:lineRule="auto"/>
            </w:pPr>
            <w:r>
              <w:rPr>
                <w:rFonts w:ascii="Calibri" w:hAnsi="Calibri"/>
                <w:b w:val="0"/>
                <w:color w:val="1F2937"/>
                <w:sz w:val="15"/>
              </w:rPr>
              <w:t>Permite desacoplar la migración de plataforma del cambio de integrador</w:t>
            </w:r>
          </w:p>
        </w:tc>
        <w:tc>
          <w:tcPr>
            <w:tcW w:type="dxa" w:w="2960"/>
            <w:vAlign w:val="center"/>
            <w:shd w:fill="F8FAFC"/>
            <w:tcMar>
              <w:top w:w="90" w:type="dxa"/>
              <w:bottom w:w="90" w:type="dxa"/>
              <w:start w:w="120" w:type="dxa"/>
              <w:end w:w="120" w:type="dxa"/>
            </w:tcMar>
          </w:tcPr>
          <w:p>
            <w:pPr>
              <w:spacing w:after="0" w:line="247" w:lineRule="auto"/>
            </w:pPr>
            <w:r>
              <w:rPr>
                <w:rFonts w:ascii="Calibri" w:hAnsi="Calibri"/>
                <w:b w:val="0"/>
                <w:color w:val="1F2937"/>
                <w:sz w:val="15"/>
              </w:rPr>
              <w:t>Mantiene temporalmente el costo de Producteca y requiere doble transición</w:t>
            </w:r>
          </w:p>
        </w:tc>
        <w:tc>
          <w:tcPr>
            <w:tcW w:type="dxa" w:w="1200"/>
            <w:vAlign w:val="center"/>
            <w:shd w:fill="F8FAFC"/>
            <w:tcMar>
              <w:top w:w="90" w:type="dxa"/>
              <w:bottom w:w="90" w:type="dxa"/>
              <w:start w:w="120" w:type="dxa"/>
              <w:end w:w="120" w:type="dxa"/>
            </w:tcMar>
          </w:tcPr>
          <w:p>
            <w:pPr>
              <w:spacing w:after="0" w:line="247" w:lineRule="auto"/>
            </w:pPr>
            <w:r>
              <w:rPr>
                <w:rFonts w:ascii="Calibri" w:hAnsi="Calibri"/>
                <w:b/>
                <w:color w:val="2E74B5"/>
                <w:sz w:val="15"/>
              </w:rPr>
              <w:t>Útil como contingencia</w:t>
            </w:r>
          </w:p>
        </w:tc>
      </w:tr>
    </w:tbl>
    <w:p>
      <w:pPr>
        <w:keepLines/>
        <w:spacing w:after="40"/>
      </w:pPr>
    </w:p>
    <w:tbl>
      <w:tblPr>
        <w:tblW w:type="dxa" w:w="9360"/>
        <w:jc w:val="left"/>
        <w:tblLayout w:type="fixed"/>
        <w:tblLook w:firstColumn="1" w:firstRow="1" w:lastColumn="0" w:lastRow="0" w:noHBand="0" w:noVBand="1" w:val="04A0"/>
        <w:tblInd w:type="dxa" w:w="180"/>
      </w:tblPr>
      <w:tblGrid>
        <w:gridCol w:w="9360"/>
      </w:tblGrid>
      <w:tr>
        <w:trPr>
          <w:tblHeader w:val="true"/>
        </w:trPr>
        <w:tc>
          <w:tcPr>
            <w:tcW w:type="dxa" w:w="9360"/>
            <w:shd w:fill="EAF2F8"/>
            <w:tcBorders>
              <w:top w:val="nil"/>
              <w:left w:val="single" w:sz="26" w:space="0" w:color="2E74B5"/>
              <w:bottom w:val="nil"/>
              <w:right w:val="nil"/>
            </w:tcBorders>
            <w:tcMar>
              <w:top w:w="130" w:type="dxa"/>
              <w:bottom w:w="130" w:type="dxa"/>
              <w:start w:w="180" w:type="dxa"/>
              <w:end w:w="180" w:type="dxa"/>
            </w:tcMar>
          </w:tcPr>
          <w:p>
            <w:pPr>
              <w:spacing w:after="40"/>
            </w:pPr>
            <w:r>
              <w:rPr>
                <w:rFonts w:ascii="Calibri" w:hAnsi="Calibri"/>
                <w:b/>
                <w:color w:val="2E74B5"/>
                <w:sz w:val="18"/>
              </w:rPr>
              <w:t>PUNTO DE DECISIÓN</w:t>
            </w:r>
          </w:p>
          <w:p>
            <w:pPr>
              <w:spacing w:after="20" w:line="259" w:lineRule="auto"/>
            </w:pPr>
            <w:r>
              <w:rPr>
                <w:rFonts w:ascii="Calibri" w:hAnsi="Calibri"/>
                <w:b/>
                <w:color w:val="1F2937"/>
                <w:sz w:val="21"/>
              </w:rPr>
              <w:t>Las alternativas principales son Tiendanube Evolución + Astroselling y Shopify + Astroselling frente a VTEX + Producteca. Por ser B2C, deben demostrar ahorro, promoción 4x3 + 6 cuotas, recorrido móvil, pagos/envíos, operación con poco personal y calidad visual custom.</w:t>
            </w:r>
          </w:p>
        </w:tc>
      </w:tr>
    </w:tbl>
    <w:p>
      <w:pPr>
        <w:keepLines/>
        <w:spacing w:after="20"/>
      </w:pPr>
    </w:p>
    <w:tbl>
      <w:tblPr>
        <w:tblW w:type="dxa" w:w="9360"/>
        <w:jc w:val="left"/>
        <w:tblLayout w:type="fixed"/>
        <w:tblLook w:firstColumn="1" w:firstRow="1" w:lastColumn="0" w:lastRow="0" w:noHBand="0" w:noVBand="1" w:val="04A0"/>
        <w:tblInd w:type="dxa" w:w="180"/>
      </w:tblPr>
      <w:tblGrid>
        <w:gridCol w:w="9360"/>
      </w:tblGrid>
      <w:tr>
        <w:trPr>
          <w:tblHeader w:val="true"/>
        </w:trPr>
        <w:tc>
          <w:tcPr>
            <w:tcW w:type="dxa" w:w="9360"/>
            <w:shd w:fill="F2F4F7"/>
            <w:tcBorders>
              <w:top w:val="nil"/>
              <w:left w:val="single" w:sz="26" w:space="0" w:color="5B6573"/>
              <w:bottom w:val="nil"/>
              <w:right w:val="nil"/>
            </w:tcBorders>
            <w:tcMar>
              <w:top w:w="130" w:type="dxa"/>
              <w:bottom w:w="130" w:type="dxa"/>
              <w:start w:w="180" w:type="dxa"/>
              <w:end w:w="180" w:type="dxa"/>
            </w:tcMar>
          </w:tcPr>
          <w:p>
            <w:pPr>
              <w:spacing w:after="40"/>
            </w:pPr>
            <w:r>
              <w:rPr>
                <w:rFonts w:ascii="Calibri" w:hAnsi="Calibri"/>
                <w:b/>
                <w:color w:val="5B6573"/>
                <w:sz w:val="18"/>
              </w:rPr>
              <w:t>CASO HIPOTÉTICO: VTEX + ASTROSELLING</w:t>
            </w:r>
          </w:p>
          <w:p>
            <w:pPr>
              <w:spacing w:after="20" w:line="259" w:lineRule="auto"/>
            </w:pPr>
            <w:r>
              <w:rPr>
                <w:rFonts w:ascii="Calibri" w:hAnsi="Calibri"/>
                <w:b/>
                <w:color w:val="1F2937"/>
                <w:sz w:val="21"/>
              </w:rPr>
              <w:t>Astroselling manifestó disposición a desarrollar una integración con VTEX, pero todavía no existe un conector público probado, propuesta formal, costo, SLA ni alcance confirmado. Por eso este escenario no integra el business case base; solo se reabre si el proveedor presenta una oferta verificable y una prueba satisfactoria.</w:t>
            </w:r>
          </w:p>
        </w:tc>
      </w:tr>
    </w:tbl>
    <w:p>
      <w:pPr>
        <w:keepLines/>
        <w:spacing w:after="20"/>
      </w:pPr>
    </w:p>
    <w:p>
      <w:pPr>
        <w:pStyle w:val="Heading2"/>
        <w:keepNext/>
        <w:keepLines/>
      </w:pPr>
      <w:r>
        <w:t>Producteca vs. Astroselling</w:t>
      </w:r>
    </w:p>
    <w:tbl>
      <w:tblPr>
        <w:tblStyle w:val="TableGrid"/>
        <w:tblW w:type="dxa" w:w="9360"/>
        <w:jc w:val="left"/>
        <w:tblLayout w:type="fixed"/>
        <w:tblLook w:firstColumn="1" w:firstRow="1" w:lastColumn="0" w:lastRow="0" w:noHBand="0" w:noVBand="1" w:val="04A0"/>
        <w:tblInd w:type="dxa" w:w="120"/>
      </w:tblPr>
      <w:tblGrid>
        <w:gridCol w:w="1650"/>
        <w:gridCol w:w="3000"/>
        <w:gridCol w:w="3210"/>
        <w:gridCol w:w="1500"/>
      </w:tblGrid>
      <w:tr>
        <w:trPr>
          <w:tblHeader w:val="true"/>
        </w:trPr>
        <w:tc>
          <w:tcPr>
            <w:tcW w:type="dxa" w:w="1650"/>
            <w:shd w:fill="17365D"/>
            <w:vAlign w:val="center"/>
            <w:tcMar>
              <w:top w:w="90" w:type="dxa"/>
              <w:bottom w:w="90" w:type="dxa"/>
              <w:start w:w="120" w:type="dxa"/>
              <w:end w:w="120" w:type="dxa"/>
            </w:tcMar>
          </w:tcPr>
          <w:p>
            <w:pPr>
              <w:spacing w:after="0"/>
              <w:jc w:val="left"/>
            </w:pPr>
            <w:r>
              <w:rPr>
                <w:rFonts w:ascii="Calibri" w:hAnsi="Calibri"/>
                <w:b/>
                <w:color w:val="FFFFFF"/>
                <w:sz w:val="17"/>
              </w:rPr>
              <w:t>Tema</w:t>
            </w:r>
          </w:p>
        </w:tc>
        <w:tc>
          <w:tcPr>
            <w:tcW w:type="dxa" w:w="3000"/>
            <w:shd w:fill="17365D"/>
            <w:vAlign w:val="center"/>
            <w:tcMar>
              <w:top w:w="90" w:type="dxa"/>
              <w:bottom w:w="90" w:type="dxa"/>
              <w:start w:w="120" w:type="dxa"/>
              <w:end w:w="120" w:type="dxa"/>
            </w:tcMar>
          </w:tcPr>
          <w:p>
            <w:pPr>
              <w:spacing w:after="0"/>
              <w:jc w:val="left"/>
            </w:pPr>
            <w:r>
              <w:rPr>
                <w:rFonts w:ascii="Calibri" w:hAnsi="Calibri"/>
                <w:b/>
                <w:color w:val="FFFFFF"/>
                <w:sz w:val="17"/>
              </w:rPr>
              <w:t>Producteca</w:t>
            </w:r>
          </w:p>
        </w:tc>
        <w:tc>
          <w:tcPr>
            <w:tcW w:type="dxa" w:w="3210"/>
            <w:shd w:fill="17365D"/>
            <w:vAlign w:val="center"/>
            <w:tcMar>
              <w:top w:w="90" w:type="dxa"/>
              <w:bottom w:w="90" w:type="dxa"/>
              <w:start w:w="120" w:type="dxa"/>
              <w:end w:w="120" w:type="dxa"/>
            </w:tcMar>
          </w:tcPr>
          <w:p>
            <w:pPr>
              <w:spacing w:after="0"/>
              <w:jc w:val="left"/>
            </w:pPr>
            <w:r>
              <w:rPr>
                <w:rFonts w:ascii="Calibri" w:hAnsi="Calibri"/>
                <w:b/>
                <w:color w:val="FFFFFF"/>
                <w:sz w:val="17"/>
              </w:rPr>
              <w:t>Astroselling</w:t>
            </w:r>
          </w:p>
        </w:tc>
        <w:tc>
          <w:tcPr>
            <w:tcW w:type="dxa" w:w="1500"/>
            <w:shd w:fill="17365D"/>
            <w:vAlign w:val="center"/>
            <w:tcMar>
              <w:top w:w="90" w:type="dxa"/>
              <w:bottom w:w="90" w:type="dxa"/>
              <w:start w:w="120" w:type="dxa"/>
              <w:end w:w="120" w:type="dxa"/>
            </w:tcMar>
          </w:tcPr>
          <w:p>
            <w:pPr>
              <w:spacing w:after="0"/>
              <w:jc w:val="left"/>
            </w:pPr>
            <w:r>
              <w:rPr>
                <w:rFonts w:ascii="Calibri" w:hAnsi="Calibri"/>
                <w:b/>
                <w:color w:val="FFFFFF"/>
                <w:sz w:val="17"/>
              </w:rPr>
              <w:t>Lectura</w:t>
            </w:r>
          </w:p>
        </w:tc>
      </w:tr>
      <w:tr>
        <w:trPr/>
        <w:tc>
          <w:tcPr>
            <w:tcW w:type="dxa" w:w="1650"/>
            <w:vAlign w:val="center"/>
            <w:tcMar>
              <w:top w:w="90" w:type="dxa"/>
              <w:bottom w:w="90" w:type="dxa"/>
              <w:start w:w="120" w:type="dxa"/>
              <w:end w:w="120" w:type="dxa"/>
            </w:tcMar>
          </w:tcPr>
          <w:p>
            <w:pPr>
              <w:spacing w:after="0" w:line="247" w:lineRule="auto"/>
            </w:pPr>
            <w:r>
              <w:rPr>
                <w:rFonts w:ascii="Calibri" w:hAnsi="Calibri"/>
                <w:b/>
                <w:color w:val="1F2937"/>
                <w:sz w:val="15"/>
              </w:rPr>
              <w:t>VTEX</w:t>
            </w:r>
          </w:p>
        </w:tc>
        <w:tc>
          <w:tcPr>
            <w:tcW w:type="dxa" w:w="3000"/>
            <w:vAlign w:val="center"/>
            <w:tcMar>
              <w:top w:w="90" w:type="dxa"/>
              <w:bottom w:w="90" w:type="dxa"/>
              <w:start w:w="120" w:type="dxa"/>
              <w:end w:w="120" w:type="dxa"/>
            </w:tcMar>
          </w:tcPr>
          <w:p>
            <w:pPr>
              <w:spacing w:after="0" w:line="247" w:lineRule="auto"/>
            </w:pPr>
            <w:r>
              <w:rPr>
                <w:rFonts w:ascii="Calibri" w:hAnsi="Calibri"/>
                <w:b w:val="0"/>
                <w:color w:val="1F2937"/>
                <w:sz w:val="15"/>
              </w:rPr>
              <w:t>Integración específica publicada</w:t>
            </w:r>
          </w:p>
        </w:tc>
        <w:tc>
          <w:tcPr>
            <w:tcW w:type="dxa" w:w="3210"/>
            <w:vAlign w:val="center"/>
            <w:tcMar>
              <w:top w:w="90" w:type="dxa"/>
              <w:bottom w:w="90" w:type="dxa"/>
              <w:start w:w="120" w:type="dxa"/>
              <w:end w:w="120" w:type="dxa"/>
            </w:tcMar>
          </w:tcPr>
          <w:p>
            <w:pPr>
              <w:spacing w:after="0" w:line="247" w:lineRule="auto"/>
            </w:pPr>
            <w:r>
              <w:rPr>
                <w:rFonts w:ascii="Calibri" w:hAnsi="Calibri"/>
                <w:b w:val="0"/>
                <w:color w:val="1F2937"/>
                <w:sz w:val="15"/>
              </w:rPr>
              <w:t>Disposición comunicada a Saracho para desarrollarla; no figura como conector estándar público</w:t>
            </w:r>
          </w:p>
        </w:tc>
        <w:tc>
          <w:tcPr>
            <w:tcW w:type="dxa" w:w="1500"/>
            <w:vAlign w:val="center"/>
            <w:tcMar>
              <w:top w:w="90" w:type="dxa"/>
              <w:bottom w:w="90" w:type="dxa"/>
              <w:start w:w="120" w:type="dxa"/>
              <w:end w:w="120" w:type="dxa"/>
            </w:tcMar>
          </w:tcPr>
          <w:p>
            <w:pPr>
              <w:spacing w:after="0" w:line="247" w:lineRule="auto"/>
            </w:pPr>
            <w:r>
              <w:rPr>
                <w:rFonts w:ascii="Calibri" w:hAnsi="Calibri"/>
                <w:b w:val="0"/>
                <w:color w:val="1F2937"/>
                <w:sz w:val="15"/>
              </w:rPr>
              <w:t>Potencial a validar</w:t>
            </w:r>
          </w:p>
        </w:tc>
      </w:tr>
      <w:tr>
        <w:trPr/>
        <w:tc>
          <w:tcPr>
            <w:tcW w:type="dxa" w:w="1650"/>
            <w:vAlign w:val="center"/>
            <w:shd w:fill="F8FAFC"/>
            <w:tcMar>
              <w:top w:w="90" w:type="dxa"/>
              <w:bottom w:w="90" w:type="dxa"/>
              <w:start w:w="120" w:type="dxa"/>
              <w:end w:w="120" w:type="dxa"/>
            </w:tcMar>
          </w:tcPr>
          <w:p>
            <w:pPr>
              <w:spacing w:after="0" w:line="247" w:lineRule="auto"/>
            </w:pPr>
            <w:r>
              <w:rPr>
                <w:rFonts w:ascii="Calibri" w:hAnsi="Calibri"/>
                <w:b/>
                <w:color w:val="1F2937"/>
                <w:sz w:val="15"/>
              </w:rPr>
              <w:t>Tiendanube Evolución</w:t>
            </w:r>
          </w:p>
        </w:tc>
        <w:tc>
          <w:tcPr>
            <w:tcW w:type="dxa" w:w="3000"/>
            <w:vAlign w:val="center"/>
            <w:shd w:fill="F8FAFC"/>
            <w:tcMar>
              <w:top w:w="90" w:type="dxa"/>
              <w:bottom w:w="90" w:type="dxa"/>
              <w:start w:w="120" w:type="dxa"/>
              <w:end w:w="120" w:type="dxa"/>
            </w:tcMar>
          </w:tcPr>
          <w:p>
            <w:pPr>
              <w:spacing w:after="0" w:line="247" w:lineRule="auto"/>
            </w:pPr>
            <w:r>
              <w:rPr>
                <w:rFonts w:ascii="Calibri" w:hAnsi="Calibri"/>
                <w:b w:val="0"/>
                <w:color w:val="1F2937"/>
                <w:sz w:val="15"/>
              </w:rPr>
              <w:t>Integración disponible</w:t>
            </w:r>
          </w:p>
        </w:tc>
        <w:tc>
          <w:tcPr>
            <w:tcW w:type="dxa" w:w="3210"/>
            <w:vAlign w:val="center"/>
            <w:shd w:fill="F8FAFC"/>
            <w:tcMar>
              <w:top w:w="90" w:type="dxa"/>
              <w:bottom w:w="90" w:type="dxa"/>
              <w:start w:w="120" w:type="dxa"/>
              <w:end w:w="120" w:type="dxa"/>
            </w:tcMar>
          </w:tcPr>
          <w:p>
            <w:pPr>
              <w:spacing w:after="0" w:line="247" w:lineRule="auto"/>
            </w:pPr>
            <w:r>
              <w:rPr>
                <w:rFonts w:ascii="Calibri" w:hAnsi="Calibri"/>
                <w:b w:val="0"/>
                <w:color w:val="1F2937"/>
                <w:sz w:val="15"/>
              </w:rPr>
              <w:t>Integración documentada por Tiendanube y Astroselling</w:t>
            </w:r>
          </w:p>
        </w:tc>
        <w:tc>
          <w:tcPr>
            <w:tcW w:type="dxa" w:w="1500"/>
            <w:vAlign w:val="center"/>
            <w:shd w:fill="F8FAFC"/>
            <w:tcMar>
              <w:top w:w="90" w:type="dxa"/>
              <w:bottom w:w="90" w:type="dxa"/>
              <w:start w:w="120" w:type="dxa"/>
              <w:end w:w="120" w:type="dxa"/>
            </w:tcMar>
          </w:tcPr>
          <w:p>
            <w:pPr>
              <w:spacing w:after="0" w:line="247" w:lineRule="auto"/>
            </w:pPr>
            <w:r>
              <w:rPr>
                <w:rFonts w:ascii="Calibri" w:hAnsi="Calibri"/>
                <w:b w:val="0"/>
                <w:color w:val="1F2937"/>
                <w:sz w:val="15"/>
              </w:rPr>
              <w:t>Ambos viables</w:t>
            </w:r>
          </w:p>
        </w:tc>
      </w:tr>
      <w:tr>
        <w:trPr/>
        <w:tc>
          <w:tcPr>
            <w:tcW w:type="dxa" w:w="1650"/>
            <w:vAlign w:val="center"/>
            <w:tcMar>
              <w:top w:w="90" w:type="dxa"/>
              <w:bottom w:w="90" w:type="dxa"/>
              <w:start w:w="120" w:type="dxa"/>
              <w:end w:w="120" w:type="dxa"/>
            </w:tcMar>
          </w:tcPr>
          <w:p>
            <w:pPr>
              <w:spacing w:after="0" w:line="247" w:lineRule="auto"/>
            </w:pPr>
            <w:r>
              <w:rPr>
                <w:rFonts w:ascii="Calibri" w:hAnsi="Calibri"/>
                <w:b/>
                <w:color w:val="1F2937"/>
                <w:sz w:val="15"/>
              </w:rPr>
              <w:t>Shopify</w:t>
            </w:r>
          </w:p>
        </w:tc>
        <w:tc>
          <w:tcPr>
            <w:tcW w:type="dxa" w:w="3000"/>
            <w:vAlign w:val="center"/>
            <w:tcMar>
              <w:top w:w="90" w:type="dxa"/>
              <w:bottom w:w="90" w:type="dxa"/>
              <w:start w:w="120" w:type="dxa"/>
              <w:end w:w="120" w:type="dxa"/>
            </w:tcMar>
          </w:tcPr>
          <w:p>
            <w:pPr>
              <w:spacing w:after="0" w:line="247" w:lineRule="auto"/>
            </w:pPr>
            <w:r>
              <w:rPr>
                <w:rFonts w:ascii="Calibri" w:hAnsi="Calibri"/>
                <w:b w:val="0"/>
                <w:color w:val="1F2937"/>
                <w:sz w:val="15"/>
              </w:rPr>
              <w:t>Integración disponible</w:t>
            </w:r>
          </w:p>
        </w:tc>
        <w:tc>
          <w:tcPr>
            <w:tcW w:type="dxa" w:w="3210"/>
            <w:vAlign w:val="center"/>
            <w:tcMar>
              <w:top w:w="90" w:type="dxa"/>
              <w:bottom w:w="90" w:type="dxa"/>
              <w:start w:w="120" w:type="dxa"/>
              <w:end w:w="120" w:type="dxa"/>
            </w:tcMar>
          </w:tcPr>
          <w:p>
            <w:pPr>
              <w:spacing w:after="0" w:line="247" w:lineRule="auto"/>
            </w:pPr>
            <w:r>
              <w:rPr>
                <w:rFonts w:ascii="Calibri" w:hAnsi="Calibri"/>
                <w:b w:val="0"/>
                <w:color w:val="1F2937"/>
                <w:sz w:val="15"/>
              </w:rPr>
              <w:t>Shopify figura entre las integraciones publicadas por Astroselling</w:t>
            </w:r>
          </w:p>
        </w:tc>
        <w:tc>
          <w:tcPr>
            <w:tcW w:type="dxa" w:w="1500"/>
            <w:vAlign w:val="center"/>
            <w:tcMar>
              <w:top w:w="90" w:type="dxa"/>
              <w:bottom w:w="90" w:type="dxa"/>
              <w:start w:w="120" w:type="dxa"/>
              <w:end w:w="120" w:type="dxa"/>
            </w:tcMar>
          </w:tcPr>
          <w:p>
            <w:pPr>
              <w:spacing w:after="0" w:line="247" w:lineRule="auto"/>
            </w:pPr>
            <w:r>
              <w:rPr>
                <w:rFonts w:ascii="Calibri" w:hAnsi="Calibri"/>
                <w:b w:val="0"/>
                <w:color w:val="1F2937"/>
                <w:sz w:val="15"/>
              </w:rPr>
              <w:t>Ambos viables</w:t>
            </w:r>
          </w:p>
        </w:tc>
      </w:tr>
      <w:tr>
        <w:trPr/>
        <w:tc>
          <w:tcPr>
            <w:tcW w:type="dxa" w:w="1650"/>
            <w:vAlign w:val="center"/>
            <w:shd w:fill="F8FAFC"/>
            <w:tcMar>
              <w:top w:w="90" w:type="dxa"/>
              <w:bottom w:w="90" w:type="dxa"/>
              <w:start w:w="120" w:type="dxa"/>
              <w:end w:w="120" w:type="dxa"/>
            </w:tcMar>
          </w:tcPr>
          <w:p>
            <w:pPr>
              <w:spacing w:after="0" w:line="247" w:lineRule="auto"/>
            </w:pPr>
            <w:r>
              <w:rPr>
                <w:rFonts w:ascii="Calibri" w:hAnsi="Calibri"/>
                <w:b/>
                <w:color w:val="1F2937"/>
                <w:sz w:val="15"/>
              </w:rPr>
              <w:t>Catálogo/stock/precio</w:t>
            </w:r>
          </w:p>
        </w:tc>
        <w:tc>
          <w:tcPr>
            <w:tcW w:type="dxa" w:w="3000"/>
            <w:vAlign w:val="center"/>
            <w:shd w:fill="F8FAFC"/>
            <w:tcMar>
              <w:top w:w="90" w:type="dxa"/>
              <w:bottom w:w="90" w:type="dxa"/>
              <w:start w:w="120" w:type="dxa"/>
              <w:end w:w="120" w:type="dxa"/>
            </w:tcMar>
          </w:tcPr>
          <w:p>
            <w:pPr>
              <w:spacing w:after="0" w:line="247" w:lineRule="auto"/>
            </w:pPr>
            <w:r>
              <w:rPr>
                <w:rFonts w:ascii="Calibri" w:hAnsi="Calibri"/>
                <w:b w:val="0"/>
                <w:color w:val="1F2937"/>
                <w:sz w:val="15"/>
              </w:rPr>
              <w:t>Sincronización y publicación multicanal</w:t>
            </w:r>
          </w:p>
        </w:tc>
        <w:tc>
          <w:tcPr>
            <w:tcW w:type="dxa" w:w="3210"/>
            <w:vAlign w:val="center"/>
            <w:shd w:fill="F8FAFC"/>
            <w:tcMar>
              <w:top w:w="90" w:type="dxa"/>
              <w:bottom w:w="90" w:type="dxa"/>
              <w:start w:w="120" w:type="dxa"/>
              <w:end w:w="120" w:type="dxa"/>
            </w:tcMar>
          </w:tcPr>
          <w:p>
            <w:pPr>
              <w:spacing w:after="0" w:line="247" w:lineRule="auto"/>
            </w:pPr>
            <w:r>
              <w:rPr>
                <w:rFonts w:ascii="Calibri" w:hAnsi="Calibri"/>
                <w:b w:val="0"/>
                <w:color w:val="1F2937"/>
                <w:sz w:val="15"/>
              </w:rPr>
              <w:t>Sincronización, reglas de stock/precio, publicación y enlaces</w:t>
            </w:r>
          </w:p>
        </w:tc>
        <w:tc>
          <w:tcPr>
            <w:tcW w:type="dxa" w:w="1500"/>
            <w:vAlign w:val="center"/>
            <w:shd w:fill="F8FAFC"/>
            <w:tcMar>
              <w:top w:w="90" w:type="dxa"/>
              <w:bottom w:w="90" w:type="dxa"/>
              <w:start w:w="120" w:type="dxa"/>
              <w:end w:w="120" w:type="dxa"/>
            </w:tcMar>
          </w:tcPr>
          <w:p>
            <w:pPr>
              <w:spacing w:after="0" w:line="247" w:lineRule="auto"/>
            </w:pPr>
            <w:r>
              <w:rPr>
                <w:rFonts w:ascii="Calibri" w:hAnsi="Calibri"/>
                <w:b w:val="0"/>
                <w:color w:val="1F2937"/>
                <w:sz w:val="15"/>
              </w:rPr>
              <w:t>Validar equivalencia</w:t>
            </w:r>
          </w:p>
        </w:tc>
      </w:tr>
      <w:tr>
        <w:trPr/>
        <w:tc>
          <w:tcPr>
            <w:tcW w:type="dxa" w:w="1650"/>
            <w:vAlign w:val="center"/>
            <w:tcMar>
              <w:top w:w="90" w:type="dxa"/>
              <w:bottom w:w="90" w:type="dxa"/>
              <w:start w:w="120" w:type="dxa"/>
              <w:end w:w="120" w:type="dxa"/>
            </w:tcMar>
          </w:tcPr>
          <w:p>
            <w:pPr>
              <w:spacing w:after="0" w:line="247" w:lineRule="auto"/>
            </w:pPr>
            <w:r>
              <w:rPr>
                <w:rFonts w:ascii="Calibri" w:hAnsi="Calibri"/>
                <w:b/>
                <w:color w:val="1F2937"/>
                <w:sz w:val="15"/>
              </w:rPr>
              <w:t>Pedidos/facturación</w:t>
            </w:r>
          </w:p>
        </w:tc>
        <w:tc>
          <w:tcPr>
            <w:tcW w:type="dxa" w:w="3000"/>
            <w:vAlign w:val="center"/>
            <w:tcMar>
              <w:top w:w="90" w:type="dxa"/>
              <w:bottom w:w="90" w:type="dxa"/>
              <w:start w:w="120" w:type="dxa"/>
              <w:end w:w="120" w:type="dxa"/>
            </w:tcMar>
          </w:tcPr>
          <w:p>
            <w:pPr>
              <w:spacing w:after="0" w:line="247" w:lineRule="auto"/>
            </w:pPr>
            <w:r>
              <w:rPr>
                <w:rFonts w:ascii="Calibri" w:hAnsi="Calibri"/>
                <w:b w:val="0"/>
                <w:color w:val="1F2937"/>
                <w:sz w:val="15"/>
              </w:rPr>
              <w:t>Órdenes, envíos y facturas dentro de una plataforma de integración</w:t>
            </w:r>
          </w:p>
        </w:tc>
        <w:tc>
          <w:tcPr>
            <w:tcW w:type="dxa" w:w="3210"/>
            <w:vAlign w:val="center"/>
            <w:tcMar>
              <w:top w:w="90" w:type="dxa"/>
              <w:bottom w:w="90" w:type="dxa"/>
              <w:start w:w="120" w:type="dxa"/>
              <w:end w:w="120" w:type="dxa"/>
            </w:tcMar>
          </w:tcPr>
          <w:p>
            <w:pPr>
              <w:spacing w:after="0" w:line="247" w:lineRule="auto"/>
            </w:pPr>
            <w:r>
              <w:rPr>
                <w:rFonts w:ascii="Calibri" w:hAnsi="Calibri"/>
                <w:b w:val="0"/>
                <w:color w:val="1F2937"/>
                <w:sz w:val="15"/>
              </w:rPr>
              <w:t>Centraliza órdenes; factura si existe ERP/facturador conectado</w:t>
            </w:r>
          </w:p>
        </w:tc>
        <w:tc>
          <w:tcPr>
            <w:tcW w:type="dxa" w:w="1500"/>
            <w:vAlign w:val="center"/>
            <w:tcMar>
              <w:top w:w="90" w:type="dxa"/>
              <w:bottom w:w="90" w:type="dxa"/>
              <w:start w:w="120" w:type="dxa"/>
              <w:end w:w="120" w:type="dxa"/>
            </w:tcMar>
          </w:tcPr>
          <w:p>
            <w:pPr>
              <w:spacing w:after="0" w:line="247" w:lineRule="auto"/>
            </w:pPr>
            <w:r>
              <w:rPr>
                <w:rFonts w:ascii="Calibri" w:hAnsi="Calibri"/>
                <w:b w:val="0"/>
                <w:color w:val="1F2937"/>
                <w:sz w:val="15"/>
              </w:rPr>
              <w:t>Validar flujo real</w:t>
            </w:r>
          </w:p>
        </w:tc>
      </w:tr>
      <w:tr>
        <w:trPr/>
        <w:tc>
          <w:tcPr>
            <w:tcW w:type="dxa" w:w="1650"/>
            <w:vAlign w:val="center"/>
            <w:shd w:fill="F8FAFC"/>
            <w:tcMar>
              <w:top w:w="90" w:type="dxa"/>
              <w:bottom w:w="90" w:type="dxa"/>
              <w:start w:w="120" w:type="dxa"/>
              <w:end w:w="120" w:type="dxa"/>
            </w:tcMar>
          </w:tcPr>
          <w:p>
            <w:pPr>
              <w:spacing w:after="0" w:line="247" w:lineRule="auto"/>
            </w:pPr>
            <w:r>
              <w:rPr>
                <w:rFonts w:ascii="Calibri" w:hAnsi="Calibri"/>
                <w:b/>
                <w:color w:val="1F2937"/>
                <w:sz w:val="15"/>
              </w:rPr>
              <w:t>Monitoreo/SLA</w:t>
            </w:r>
          </w:p>
        </w:tc>
        <w:tc>
          <w:tcPr>
            <w:tcW w:type="dxa" w:w="3000"/>
            <w:vAlign w:val="center"/>
            <w:shd w:fill="F8FAFC"/>
            <w:tcMar>
              <w:top w:w="90" w:type="dxa"/>
              <w:bottom w:w="90" w:type="dxa"/>
              <w:start w:w="120" w:type="dxa"/>
              <w:end w:w="120" w:type="dxa"/>
            </w:tcMar>
          </w:tcPr>
          <w:p>
            <w:pPr>
              <w:spacing w:after="0" w:line="247" w:lineRule="auto"/>
            </w:pPr>
            <w:r>
              <w:rPr>
                <w:rFonts w:ascii="Calibri" w:hAnsi="Calibri"/>
                <w:b w:val="0"/>
                <w:color w:val="1F2937"/>
                <w:sz w:val="15"/>
              </w:rPr>
              <w:t>Producteca publica centro de monitoreo, ISO 27001 y SLA según plan</w:t>
            </w:r>
          </w:p>
        </w:tc>
        <w:tc>
          <w:tcPr>
            <w:tcW w:type="dxa" w:w="3210"/>
            <w:vAlign w:val="center"/>
            <w:shd w:fill="F8FAFC"/>
            <w:tcMar>
              <w:top w:w="90" w:type="dxa"/>
              <w:bottom w:w="90" w:type="dxa"/>
              <w:start w:w="120" w:type="dxa"/>
              <w:end w:w="120" w:type="dxa"/>
            </w:tcMar>
          </w:tcPr>
          <w:p>
            <w:pPr>
              <w:spacing w:after="0" w:line="247" w:lineRule="auto"/>
            </w:pPr>
            <w:r>
              <w:rPr>
                <w:rFonts w:ascii="Calibri" w:hAnsi="Calibri"/>
                <w:b w:val="0"/>
                <w:color w:val="1F2937"/>
                <w:sz w:val="15"/>
              </w:rPr>
              <w:t>Revisar SLA, soporte, auditoría y recuperación contractual</w:t>
            </w:r>
          </w:p>
        </w:tc>
        <w:tc>
          <w:tcPr>
            <w:tcW w:type="dxa" w:w="1500"/>
            <w:vAlign w:val="center"/>
            <w:shd w:fill="F8FAFC"/>
            <w:tcMar>
              <w:top w:w="90" w:type="dxa"/>
              <w:bottom w:w="90" w:type="dxa"/>
              <w:start w:w="120" w:type="dxa"/>
              <w:end w:w="120" w:type="dxa"/>
            </w:tcMar>
          </w:tcPr>
          <w:p>
            <w:pPr>
              <w:spacing w:after="0" w:line="247" w:lineRule="auto"/>
            </w:pPr>
            <w:r>
              <w:rPr>
                <w:rFonts w:ascii="Calibri" w:hAnsi="Calibri"/>
                <w:b w:val="0"/>
                <w:color w:val="1F2937"/>
                <w:sz w:val="15"/>
              </w:rPr>
              <w:t>Ventaja a comprobar</w:t>
            </w:r>
          </w:p>
        </w:tc>
      </w:tr>
      <w:tr>
        <w:trPr/>
        <w:tc>
          <w:tcPr>
            <w:tcW w:type="dxa" w:w="1650"/>
            <w:vAlign w:val="center"/>
            <w:tcMar>
              <w:top w:w="90" w:type="dxa"/>
              <w:bottom w:w="90" w:type="dxa"/>
              <w:start w:w="120" w:type="dxa"/>
              <w:end w:w="120" w:type="dxa"/>
            </w:tcMar>
          </w:tcPr>
          <w:p>
            <w:pPr>
              <w:spacing w:after="0" w:line="247" w:lineRule="auto"/>
            </w:pPr>
            <w:r>
              <w:rPr>
                <w:rFonts w:ascii="Calibri" w:hAnsi="Calibri"/>
                <w:b/>
                <w:color w:val="1F2937"/>
                <w:sz w:val="15"/>
              </w:rPr>
              <w:t>Precio público</w:t>
            </w:r>
          </w:p>
        </w:tc>
        <w:tc>
          <w:tcPr>
            <w:tcW w:type="dxa" w:w="3000"/>
            <w:vAlign w:val="center"/>
            <w:tcMar>
              <w:top w:w="90" w:type="dxa"/>
              <w:bottom w:w="90" w:type="dxa"/>
              <w:start w:w="120" w:type="dxa"/>
              <w:end w:w="120" w:type="dxa"/>
            </w:tcMar>
          </w:tcPr>
          <w:p>
            <w:pPr>
              <w:spacing w:after="0" w:line="247" w:lineRule="auto"/>
            </w:pPr>
            <w:r>
              <w:rPr>
                <w:rFonts w:ascii="Calibri" w:hAnsi="Calibri"/>
                <w:b w:val="0"/>
                <w:color w:val="1F2937"/>
                <w:sz w:val="15"/>
              </w:rPr>
              <w:t>No fijo; términos contemplan implementación, fee, usuarios/canales y desarrollo</w:t>
            </w:r>
          </w:p>
        </w:tc>
        <w:tc>
          <w:tcPr>
            <w:tcW w:type="dxa" w:w="3210"/>
            <w:vAlign w:val="center"/>
            <w:tcMar>
              <w:top w:w="90" w:type="dxa"/>
              <w:bottom w:w="90" w:type="dxa"/>
              <w:start w:w="120" w:type="dxa"/>
              <w:end w:w="120" w:type="dxa"/>
            </w:tcMar>
          </w:tcPr>
          <w:p>
            <w:pPr>
              <w:spacing w:after="0" w:line="247" w:lineRule="auto"/>
            </w:pPr>
            <w:r>
              <w:rPr>
                <w:rFonts w:ascii="Calibri" w:hAnsi="Calibri"/>
                <w:b w:val="0"/>
                <w:color w:val="1F2937"/>
                <w:sz w:val="15"/>
              </w:rPr>
              <w:t>Planes publicados en USD con límites por canales, SKU y órdenes</w:t>
            </w:r>
          </w:p>
        </w:tc>
        <w:tc>
          <w:tcPr>
            <w:tcW w:type="dxa" w:w="1500"/>
            <w:vAlign w:val="center"/>
            <w:tcMar>
              <w:top w:w="90" w:type="dxa"/>
              <w:bottom w:w="90" w:type="dxa"/>
              <w:start w:w="120" w:type="dxa"/>
              <w:end w:w="120" w:type="dxa"/>
            </w:tcMar>
          </w:tcPr>
          <w:p>
            <w:pPr>
              <w:spacing w:after="0" w:line="247" w:lineRule="auto"/>
            </w:pPr>
            <w:r>
              <w:rPr>
                <w:rFonts w:ascii="Calibri" w:hAnsi="Calibri"/>
                <w:b w:val="0"/>
                <w:color w:val="1F2937"/>
                <w:sz w:val="15"/>
              </w:rPr>
              <w:t>Ventaja Astroselling</w:t>
            </w:r>
          </w:p>
        </w:tc>
      </w:tr>
    </w:tbl>
    <w:p>
      <w:pPr>
        <w:keepLines/>
        <w:spacing w:after="40"/>
      </w:pPr>
    </w:p>
    <w:p>
      <w:pPr>
        <w:spacing w:before="80" w:after="80"/>
      </w:pPr>
      <w:r>
        <w:rPr>
          <w:rFonts w:ascii="Calibri" w:hAnsi="Calibri"/>
          <w:i/>
          <w:color w:val="5B6573"/>
          <w:sz w:val="16"/>
        </w:rPr>
        <w:t>Fuentes oficiales: Producteca publica su integración con VTEX; Astroselling publica conectores para Tiendanube y Shopify; Tiendanube documenta la instalación de Astroselling. La disposición a integrar VTEX surge únicamente de conversaciones mantenidas por Saracho Neumáticos y se trata como hipótesis.</w:t>
      </w:r>
    </w:p>
    <w:p>
      <w:pPr>
        <w:keepLines/>
      </w:pPr>
      <w:r>
        <w:br w:type="page"/>
      </w:r>
    </w:p>
    <w:p>
      <w:pPr>
        <w:pStyle w:val="Heading1"/>
        <w:keepNext/>
        <w:keepLines/>
      </w:pPr>
      <w:r>
        <w:t>4. Costos: comparar TCO, no solo licencias</w:t>
      </w:r>
    </w:p>
    <w:p>
      <w:pPr>
        <w:spacing w:after="120"/>
      </w:pPr>
      <w:r>
        <w:rPr>
          <w:rFonts w:ascii="Calibri" w:hAnsi="Calibri"/>
          <w:i w:val="0"/>
          <w:color w:val="1F2937"/>
        </w:rPr>
        <w:t>La comparación correcta es a 24 meses y debe incluir costos visibles y ocultos. Un plan más económico puede resultar más caro si exige desarrollo, conciliaciones manuales, pérdida de ventas por stock incorrecto o recreación de funcionalidades.</w:t>
      </w:r>
    </w:p>
    <w:tbl>
      <w:tblPr>
        <w:tblW w:type="dxa" w:w="9360"/>
        <w:jc w:val="left"/>
        <w:tblLayout w:type="fixed"/>
        <w:tblLook w:firstColumn="1" w:firstRow="1" w:lastColumn="0" w:lastRow="0" w:noHBand="0" w:noVBand="1" w:val="04A0"/>
        <w:tblInd w:type="dxa" w:w="180"/>
      </w:tblPr>
      <w:tblGrid>
        <w:gridCol w:w="9360"/>
      </w:tblGrid>
      <w:tr>
        <w:trPr>
          <w:tblHeader w:val="true"/>
        </w:trPr>
        <w:tc>
          <w:tcPr>
            <w:tcW w:type="dxa" w:w="9360"/>
            <w:shd w:fill="EAF2F8"/>
            <w:tcBorders>
              <w:top w:val="nil"/>
              <w:left w:val="single" w:sz="26" w:space="0" w:color="2E74B5"/>
              <w:bottom w:val="nil"/>
              <w:right w:val="nil"/>
            </w:tcBorders>
            <w:tcMar>
              <w:top w:w="130" w:type="dxa"/>
              <w:bottom w:w="130" w:type="dxa"/>
              <w:start w:w="180" w:type="dxa"/>
              <w:end w:w="180" w:type="dxa"/>
            </w:tcMar>
          </w:tcPr>
          <w:p>
            <w:pPr>
              <w:spacing w:after="40"/>
            </w:pPr>
            <w:r>
              <w:rPr>
                <w:rFonts w:ascii="Calibri" w:hAnsi="Calibri"/>
                <w:b/>
                <w:color w:val="2E74B5"/>
                <w:sz w:val="18"/>
              </w:rPr>
              <w:t>FÓRMULA RECOMENDADA</w:t>
            </w:r>
          </w:p>
          <w:p>
            <w:pPr>
              <w:spacing w:after="20" w:line="259" w:lineRule="auto"/>
            </w:pPr>
            <w:r>
              <w:rPr>
                <w:rFonts w:ascii="Calibri" w:hAnsi="Calibri"/>
                <w:b/>
                <w:color w:val="1F2937"/>
                <w:sz w:val="21"/>
              </w:rPr>
              <w:t>TCO mensual = plataforma + comisiones + integrador + multicanal + aplicaciones + desarrollo/soporte + costo operativo manual + impacto esperado de incidentes. A esto se suma la migración inicial amortizada en 24 meses.</w:t>
            </w:r>
          </w:p>
        </w:tc>
      </w:tr>
    </w:tbl>
    <w:p>
      <w:pPr>
        <w:keepLines/>
        <w:spacing w:after="20"/>
      </w:pPr>
    </w:p>
    <w:p>
      <w:pPr>
        <w:spacing w:after="120"/>
      </w:pPr>
      <w:r>
        <w:rPr>
          <w:rFonts w:ascii="Calibri" w:hAnsi="Calibri"/>
          <w:i w:val="0"/>
          <w:color w:val="1F2937"/>
        </w:rPr>
        <w:t>Con ventas bajas, además del TCO absoluto deben seguirse dos indicadores: costo tecnológico como porcentaje de las ventas netas y cantidad de pedidos necesaria para cubrir el costo fijo digital. Esto permite demostrar si la arquitectura actual está sobredimensionada para el nivel de actividad.</w:t>
      </w:r>
    </w:p>
    <w:p>
      <w:pPr>
        <w:pStyle w:val="ListBullet"/>
        <w:keepLines/>
        <w:ind w:left="720" w:hanging="360"/>
      </w:pPr>
      <w:r>
        <w:rPr>
          <w:rFonts w:ascii="Calibri" w:hAnsi="Calibri"/>
          <w:color w:val="1F2937"/>
        </w:rPr>
        <w:t>Carga tecnológica = TCO mensual / ventas netas mensuales.</w:t>
      </w:r>
    </w:p>
    <w:p>
      <w:pPr>
        <w:pStyle w:val="ListBullet"/>
        <w:keepLines/>
        <w:ind w:left="720" w:hanging="360"/>
      </w:pPr>
      <w:r>
        <w:rPr>
          <w:rFonts w:ascii="Calibri" w:hAnsi="Calibri"/>
          <w:color w:val="1F2937"/>
        </w:rPr>
        <w:t>Pedidos de equilibrio tecnológico = TCO mensual / margen de contribución promedio por pedido.</w:t>
      </w:r>
    </w:p>
    <w:p>
      <w:pPr>
        <w:pStyle w:val="ListBullet"/>
        <w:keepLines/>
        <w:ind w:left="720" w:hanging="360"/>
      </w:pPr>
      <w:r>
        <w:rPr>
          <w:rFonts w:ascii="Calibri" w:hAnsi="Calibri"/>
          <w:color w:val="1F2937"/>
        </w:rPr>
        <w:t>Ahorro de caja = TCO actual - TCO alternativo - amortización mensual de la migración.</w:t>
      </w:r>
    </w:p>
    <w:tbl>
      <w:tblPr>
        <w:tblStyle w:val="TableGrid"/>
        <w:tblW w:type="dxa" w:w="9360"/>
        <w:jc w:val="left"/>
        <w:tblLayout w:type="fixed"/>
        <w:tblLook w:firstColumn="1" w:firstRow="1" w:lastColumn="0" w:lastRow="0" w:noHBand="0" w:noVBand="1" w:val="04A0"/>
        <w:tblInd w:type="dxa" w:w="120"/>
      </w:tblPr>
      <w:tblGrid>
        <w:gridCol w:w="1800"/>
        <w:gridCol w:w="2450"/>
        <w:gridCol w:w="5110"/>
      </w:tblGrid>
      <w:tr>
        <w:trPr>
          <w:tblHeader w:val="true"/>
        </w:trPr>
        <w:tc>
          <w:tcPr>
            <w:tcW w:type="dxa" w:w="1800"/>
            <w:shd w:fill="17365D"/>
            <w:vAlign w:val="center"/>
            <w:tcMar>
              <w:top w:w="90" w:type="dxa"/>
              <w:bottom w:w="90" w:type="dxa"/>
              <w:start w:w="120" w:type="dxa"/>
              <w:end w:w="120" w:type="dxa"/>
            </w:tcMar>
          </w:tcPr>
          <w:p>
            <w:pPr>
              <w:spacing w:after="0"/>
              <w:jc w:val="left"/>
            </w:pPr>
            <w:r>
              <w:rPr>
                <w:rFonts w:ascii="Calibri" w:hAnsi="Calibri"/>
                <w:b/>
                <w:color w:val="FFFFFF"/>
                <w:sz w:val="17"/>
              </w:rPr>
              <w:t>Partida</w:t>
            </w:r>
          </w:p>
        </w:tc>
        <w:tc>
          <w:tcPr>
            <w:tcW w:type="dxa" w:w="2450"/>
            <w:shd w:fill="17365D"/>
            <w:vAlign w:val="center"/>
            <w:tcMar>
              <w:top w:w="90" w:type="dxa"/>
              <w:bottom w:w="90" w:type="dxa"/>
              <w:start w:w="120" w:type="dxa"/>
              <w:end w:w="120" w:type="dxa"/>
            </w:tcMar>
          </w:tcPr>
          <w:p>
            <w:pPr>
              <w:spacing w:after="0"/>
              <w:jc w:val="left"/>
            </w:pPr>
            <w:r>
              <w:rPr>
                <w:rFonts w:ascii="Calibri" w:hAnsi="Calibri"/>
                <w:b/>
                <w:color w:val="FFFFFF"/>
                <w:sz w:val="17"/>
              </w:rPr>
              <w:t>Dato requerido</w:t>
            </w:r>
          </w:p>
        </w:tc>
        <w:tc>
          <w:tcPr>
            <w:tcW w:type="dxa" w:w="5110"/>
            <w:shd w:fill="17365D"/>
            <w:vAlign w:val="center"/>
            <w:tcMar>
              <w:top w:w="90" w:type="dxa"/>
              <w:bottom w:w="90" w:type="dxa"/>
              <w:start w:w="120" w:type="dxa"/>
              <w:end w:w="120" w:type="dxa"/>
            </w:tcMar>
          </w:tcPr>
          <w:p>
            <w:pPr>
              <w:spacing w:after="0"/>
              <w:jc w:val="left"/>
            </w:pPr>
            <w:r>
              <w:rPr>
                <w:rFonts w:ascii="Calibri" w:hAnsi="Calibri"/>
                <w:b/>
                <w:color w:val="FFFFFF"/>
                <w:sz w:val="17"/>
              </w:rPr>
              <w:t>Qué incluir</w:t>
            </w:r>
          </w:p>
        </w:tc>
      </w:tr>
      <w:tr>
        <w:trPr/>
        <w:tc>
          <w:tcPr>
            <w:tcW w:type="dxa" w:w="1800"/>
            <w:vAlign w:val="center"/>
            <w:tcMar>
              <w:top w:w="90" w:type="dxa"/>
              <w:bottom w:w="90" w:type="dxa"/>
              <w:start w:w="120" w:type="dxa"/>
              <w:end w:w="120" w:type="dxa"/>
            </w:tcMar>
          </w:tcPr>
          <w:p>
            <w:pPr>
              <w:spacing w:after="0" w:line="247" w:lineRule="auto"/>
            </w:pPr>
            <w:r>
              <w:rPr>
                <w:rFonts w:ascii="Calibri" w:hAnsi="Calibri"/>
                <w:b/>
                <w:color w:val="1F2937"/>
                <w:sz w:val="16"/>
              </w:rPr>
              <w:t>VTEX</w:t>
            </w:r>
          </w:p>
        </w:tc>
        <w:tc>
          <w:tcPr>
            <w:tcW w:type="dxa" w:w="2450"/>
            <w:vAlign w:val="center"/>
            <w:tcMar>
              <w:top w:w="90" w:type="dxa"/>
              <w:bottom w:w="90" w:type="dxa"/>
              <w:start w:w="120" w:type="dxa"/>
              <w:end w:w="120" w:type="dxa"/>
            </w:tcMar>
          </w:tcPr>
          <w:p>
            <w:pPr>
              <w:spacing w:after="0" w:line="247" w:lineRule="auto"/>
            </w:pPr>
            <w:r>
              <w:rPr>
                <w:rFonts w:ascii="Calibri" w:hAnsi="Calibri"/>
                <w:b w:val="0"/>
                <w:color w:val="1F2937"/>
                <w:sz w:val="16"/>
              </w:rPr>
              <w:t>Cotización/contrato vigente</w:t>
            </w:r>
          </w:p>
        </w:tc>
        <w:tc>
          <w:tcPr>
            <w:tcW w:type="dxa" w:w="5110"/>
            <w:vAlign w:val="center"/>
            <w:tcMar>
              <w:top w:w="90" w:type="dxa"/>
              <w:bottom w:w="90" w:type="dxa"/>
              <w:start w:w="120" w:type="dxa"/>
              <w:end w:w="120" w:type="dxa"/>
            </w:tcMar>
          </w:tcPr>
          <w:p>
            <w:pPr>
              <w:spacing w:after="0" w:line="247" w:lineRule="auto"/>
            </w:pPr>
            <w:r>
              <w:rPr>
                <w:rFonts w:ascii="Calibri" w:hAnsi="Calibri"/>
                <w:b w:val="0"/>
                <w:color w:val="1F2937"/>
                <w:sz w:val="16"/>
              </w:rPr>
              <w:t>Licencia y condiciones comerciales; no usar estimaciones genéricas</w:t>
            </w:r>
          </w:p>
        </w:tc>
      </w:tr>
      <w:tr>
        <w:trPr/>
        <w:tc>
          <w:tcPr>
            <w:tcW w:type="dxa" w:w="1800"/>
            <w:vAlign w:val="center"/>
            <w:shd w:fill="F8FAFC"/>
            <w:tcMar>
              <w:top w:w="90" w:type="dxa"/>
              <w:bottom w:w="90" w:type="dxa"/>
              <w:start w:w="120" w:type="dxa"/>
              <w:end w:w="120" w:type="dxa"/>
            </w:tcMar>
          </w:tcPr>
          <w:p>
            <w:pPr>
              <w:spacing w:after="0" w:line="247" w:lineRule="auto"/>
            </w:pPr>
            <w:r>
              <w:rPr>
                <w:rFonts w:ascii="Calibri" w:hAnsi="Calibri"/>
                <w:b/>
                <w:color w:val="1F2937"/>
                <w:sz w:val="16"/>
              </w:rPr>
              <w:t>Producteca</w:t>
            </w:r>
          </w:p>
        </w:tc>
        <w:tc>
          <w:tcPr>
            <w:tcW w:type="dxa" w:w="2450"/>
            <w:vAlign w:val="center"/>
            <w:shd w:fill="F8FAFC"/>
            <w:tcMar>
              <w:top w:w="90" w:type="dxa"/>
              <w:bottom w:w="90" w:type="dxa"/>
              <w:start w:w="120" w:type="dxa"/>
              <w:end w:w="120" w:type="dxa"/>
            </w:tcMar>
          </w:tcPr>
          <w:p>
            <w:pPr>
              <w:spacing w:after="0" w:line="247" w:lineRule="auto"/>
            </w:pPr>
            <w:r>
              <w:rPr>
                <w:rFonts w:ascii="Calibri" w:hAnsi="Calibri"/>
                <w:b w:val="0"/>
                <w:color w:val="1F2937"/>
                <w:sz w:val="16"/>
              </w:rPr>
              <w:t>Cotización/contrato vigente</w:t>
            </w:r>
          </w:p>
        </w:tc>
        <w:tc>
          <w:tcPr>
            <w:tcW w:type="dxa" w:w="5110"/>
            <w:vAlign w:val="center"/>
            <w:shd w:fill="F8FAFC"/>
            <w:tcMar>
              <w:top w:w="90" w:type="dxa"/>
              <w:bottom w:w="90" w:type="dxa"/>
              <w:start w:w="120" w:type="dxa"/>
              <w:end w:w="120" w:type="dxa"/>
            </w:tcMar>
          </w:tcPr>
          <w:p>
            <w:pPr>
              <w:spacing w:after="0" w:line="247" w:lineRule="auto"/>
            </w:pPr>
            <w:r>
              <w:rPr>
                <w:rFonts w:ascii="Calibri" w:hAnsi="Calibri"/>
                <w:b w:val="0"/>
                <w:color w:val="1F2937"/>
                <w:sz w:val="16"/>
              </w:rPr>
              <w:t>Implementación, customer success/KAM, fee por operación/canales/usuarios y desarrollos según términos</w:t>
            </w:r>
          </w:p>
        </w:tc>
      </w:tr>
      <w:tr>
        <w:trPr/>
        <w:tc>
          <w:tcPr>
            <w:tcW w:type="dxa" w:w="1800"/>
            <w:vAlign w:val="center"/>
            <w:tcMar>
              <w:top w:w="90" w:type="dxa"/>
              <w:bottom w:w="90" w:type="dxa"/>
              <w:start w:w="120" w:type="dxa"/>
              <w:end w:w="120" w:type="dxa"/>
            </w:tcMar>
          </w:tcPr>
          <w:p>
            <w:pPr>
              <w:spacing w:after="0" w:line="247" w:lineRule="auto"/>
            </w:pPr>
            <w:r>
              <w:rPr>
                <w:rFonts w:ascii="Calibri" w:hAnsi="Calibri"/>
                <w:b/>
                <w:color w:val="1F2937"/>
                <w:sz w:val="16"/>
              </w:rPr>
              <w:t>Pirce</w:t>
            </w:r>
          </w:p>
        </w:tc>
        <w:tc>
          <w:tcPr>
            <w:tcW w:type="dxa" w:w="2450"/>
            <w:vAlign w:val="center"/>
            <w:tcMar>
              <w:top w:w="90" w:type="dxa"/>
              <w:bottom w:w="90" w:type="dxa"/>
              <w:start w:w="120" w:type="dxa"/>
              <w:end w:w="120" w:type="dxa"/>
            </w:tcMar>
          </w:tcPr>
          <w:p>
            <w:pPr>
              <w:spacing w:after="0" w:line="247" w:lineRule="auto"/>
            </w:pPr>
            <w:r>
              <w:rPr>
                <w:rFonts w:ascii="Calibri" w:hAnsi="Calibri"/>
                <w:b w:val="0"/>
                <w:color w:val="1F2937"/>
                <w:sz w:val="16"/>
              </w:rPr>
              <w:t>Contrato y horas reales</w:t>
            </w:r>
          </w:p>
        </w:tc>
        <w:tc>
          <w:tcPr>
            <w:tcW w:type="dxa" w:w="5110"/>
            <w:vAlign w:val="center"/>
            <w:tcMar>
              <w:top w:w="90" w:type="dxa"/>
              <w:bottom w:w="90" w:type="dxa"/>
              <w:start w:w="120" w:type="dxa"/>
              <w:end w:w="120" w:type="dxa"/>
            </w:tcMar>
          </w:tcPr>
          <w:p>
            <w:pPr>
              <w:spacing w:after="0" w:line="247" w:lineRule="auto"/>
            </w:pPr>
            <w:r>
              <w:rPr>
                <w:rFonts w:ascii="Calibri" w:hAnsi="Calibri"/>
                <w:b w:val="0"/>
                <w:color w:val="1F2937"/>
                <w:sz w:val="16"/>
              </w:rPr>
              <w:t>Abono, alcance, bolsas de horas, incidentes, desarrollos y dependencia</w:t>
            </w:r>
          </w:p>
        </w:tc>
      </w:tr>
      <w:tr>
        <w:trPr/>
        <w:tc>
          <w:tcPr>
            <w:tcW w:type="dxa" w:w="1800"/>
            <w:vAlign w:val="center"/>
            <w:shd w:fill="F8FAFC"/>
            <w:tcMar>
              <w:top w:w="90" w:type="dxa"/>
              <w:bottom w:w="90" w:type="dxa"/>
              <w:start w:w="120" w:type="dxa"/>
              <w:end w:w="120" w:type="dxa"/>
            </w:tcMar>
          </w:tcPr>
          <w:p>
            <w:pPr>
              <w:spacing w:after="0" w:line="247" w:lineRule="auto"/>
            </w:pPr>
            <w:r>
              <w:rPr>
                <w:rFonts w:ascii="Calibri" w:hAnsi="Calibri"/>
                <w:b/>
                <w:color w:val="1F2937"/>
                <w:sz w:val="16"/>
              </w:rPr>
              <w:t>Tiendanube Evolución</w:t>
            </w:r>
          </w:p>
        </w:tc>
        <w:tc>
          <w:tcPr>
            <w:tcW w:type="dxa" w:w="2450"/>
            <w:vAlign w:val="center"/>
            <w:shd w:fill="F8FAFC"/>
            <w:tcMar>
              <w:top w:w="90" w:type="dxa"/>
              <w:bottom w:w="90" w:type="dxa"/>
              <w:start w:w="120" w:type="dxa"/>
              <w:end w:w="120" w:type="dxa"/>
            </w:tcMar>
          </w:tcPr>
          <w:p>
            <w:pPr>
              <w:spacing w:after="0" w:line="247" w:lineRule="auto"/>
            </w:pPr>
            <w:r>
              <w:rPr>
                <w:rFonts w:ascii="Calibri" w:hAnsi="Calibri"/>
                <w:b w:val="0"/>
                <w:color w:val="1F2937"/>
                <w:sz w:val="16"/>
              </w:rPr>
              <w:t>Cotización integral</w:t>
            </w:r>
          </w:p>
        </w:tc>
        <w:tc>
          <w:tcPr>
            <w:tcW w:type="dxa" w:w="5110"/>
            <w:vAlign w:val="center"/>
            <w:shd w:fill="F8FAFC"/>
            <w:tcMar>
              <w:top w:w="90" w:type="dxa"/>
              <w:bottom w:w="90" w:type="dxa"/>
              <w:start w:w="120" w:type="dxa"/>
              <w:end w:w="120" w:type="dxa"/>
            </w:tcMar>
          </w:tcPr>
          <w:p>
            <w:pPr>
              <w:spacing w:after="0" w:line="247" w:lineRule="auto"/>
            </w:pPr>
            <w:r>
              <w:rPr>
                <w:rFonts w:ascii="Calibri" w:hAnsi="Calibri"/>
                <w:b w:val="0"/>
                <w:color w:val="1F2937"/>
                <w:sz w:val="16"/>
              </w:rPr>
              <w:t>Fee, transacciones, Pago Nube, apps, desarrollo custom, migración, soporte y condiciones preferenciales</w:t>
            </w:r>
          </w:p>
        </w:tc>
      </w:tr>
      <w:tr>
        <w:trPr/>
        <w:tc>
          <w:tcPr>
            <w:tcW w:type="dxa" w:w="1800"/>
            <w:vAlign w:val="center"/>
            <w:tcMar>
              <w:top w:w="90" w:type="dxa"/>
              <w:bottom w:w="90" w:type="dxa"/>
              <w:start w:w="120" w:type="dxa"/>
              <w:end w:w="120" w:type="dxa"/>
            </w:tcMar>
          </w:tcPr>
          <w:p>
            <w:pPr>
              <w:spacing w:after="0" w:line="247" w:lineRule="auto"/>
            </w:pPr>
            <w:r>
              <w:rPr>
                <w:rFonts w:ascii="Calibri" w:hAnsi="Calibri"/>
                <w:b/>
                <w:color w:val="1F2937"/>
                <w:sz w:val="16"/>
              </w:rPr>
              <w:t>Shopify</w:t>
            </w:r>
          </w:p>
        </w:tc>
        <w:tc>
          <w:tcPr>
            <w:tcW w:type="dxa" w:w="2450"/>
            <w:vAlign w:val="center"/>
            <w:tcMar>
              <w:top w:w="90" w:type="dxa"/>
              <w:bottom w:w="90" w:type="dxa"/>
              <w:start w:w="120" w:type="dxa"/>
              <w:end w:w="120" w:type="dxa"/>
            </w:tcMar>
          </w:tcPr>
          <w:p>
            <w:pPr>
              <w:spacing w:after="0" w:line="247" w:lineRule="auto"/>
            </w:pPr>
            <w:r>
              <w:rPr>
                <w:rFonts w:ascii="Calibri" w:hAnsi="Calibri"/>
                <w:b w:val="0"/>
                <w:color w:val="1F2937"/>
                <w:sz w:val="16"/>
              </w:rPr>
              <w:t>Plan USD + pagos externos + apps</w:t>
            </w:r>
          </w:p>
        </w:tc>
        <w:tc>
          <w:tcPr>
            <w:tcW w:type="dxa" w:w="5110"/>
            <w:vAlign w:val="center"/>
            <w:tcMar>
              <w:top w:w="90" w:type="dxa"/>
              <w:bottom w:w="90" w:type="dxa"/>
              <w:start w:w="120" w:type="dxa"/>
              <w:end w:w="120" w:type="dxa"/>
            </w:tcMar>
          </w:tcPr>
          <w:p>
            <w:pPr>
              <w:spacing w:after="0" w:line="247" w:lineRule="auto"/>
            </w:pPr>
            <w:r>
              <w:rPr>
                <w:rFonts w:ascii="Calibri" w:hAnsi="Calibri"/>
                <w:b w:val="0"/>
                <w:color w:val="1F2937"/>
                <w:sz w:val="16"/>
              </w:rPr>
              <w:t>Plan, cargo de Shopify por proveedor externo, gateway local, tema, aplicaciones y desarrollo</w:t>
            </w:r>
          </w:p>
        </w:tc>
      </w:tr>
      <w:tr>
        <w:trPr/>
        <w:tc>
          <w:tcPr>
            <w:tcW w:type="dxa" w:w="1800"/>
            <w:vAlign w:val="center"/>
            <w:shd w:fill="F8FAFC"/>
            <w:tcMar>
              <w:top w:w="90" w:type="dxa"/>
              <w:bottom w:w="90" w:type="dxa"/>
              <w:start w:w="120" w:type="dxa"/>
              <w:end w:w="120" w:type="dxa"/>
            </w:tcMar>
          </w:tcPr>
          <w:p>
            <w:pPr>
              <w:spacing w:after="0" w:line="247" w:lineRule="auto"/>
            </w:pPr>
            <w:r>
              <w:rPr>
                <w:rFonts w:ascii="Calibri" w:hAnsi="Calibri"/>
                <w:b/>
                <w:color w:val="1F2937"/>
                <w:sz w:val="16"/>
              </w:rPr>
              <w:t>Astroselling</w:t>
            </w:r>
          </w:p>
        </w:tc>
        <w:tc>
          <w:tcPr>
            <w:tcW w:type="dxa" w:w="2450"/>
            <w:vAlign w:val="center"/>
            <w:shd w:fill="F8FAFC"/>
            <w:tcMar>
              <w:top w:w="90" w:type="dxa"/>
              <w:bottom w:w="90" w:type="dxa"/>
              <w:start w:w="120" w:type="dxa"/>
              <w:end w:w="120" w:type="dxa"/>
            </w:tcMar>
          </w:tcPr>
          <w:p>
            <w:pPr>
              <w:spacing w:after="0" w:line="247" w:lineRule="auto"/>
            </w:pPr>
            <w:r>
              <w:rPr>
                <w:rFonts w:ascii="Calibri" w:hAnsi="Calibri"/>
                <w:b w:val="0"/>
                <w:color w:val="1F2937"/>
                <w:sz w:val="16"/>
              </w:rPr>
              <w:t>Plan + órdenes + posible API</w:t>
            </w:r>
          </w:p>
        </w:tc>
        <w:tc>
          <w:tcPr>
            <w:tcW w:type="dxa" w:w="5110"/>
            <w:vAlign w:val="center"/>
            <w:shd w:fill="F8FAFC"/>
            <w:tcMar>
              <w:top w:w="90" w:type="dxa"/>
              <w:bottom w:w="90" w:type="dxa"/>
              <w:start w:w="120" w:type="dxa"/>
              <w:end w:w="120" w:type="dxa"/>
            </w:tcMar>
          </w:tcPr>
          <w:p>
            <w:pPr>
              <w:spacing w:after="0" w:line="247" w:lineRule="auto"/>
            </w:pPr>
            <w:r>
              <w:rPr>
                <w:rFonts w:ascii="Calibri" w:hAnsi="Calibri"/>
                <w:b w:val="0"/>
                <w:color w:val="1F2937"/>
                <w:sz w:val="16"/>
              </w:rPr>
              <w:t>Canales, SKU, órdenes excedentes, ERP/facturación, API y soporte</w:t>
            </w:r>
          </w:p>
        </w:tc>
      </w:tr>
      <w:tr>
        <w:trPr/>
        <w:tc>
          <w:tcPr>
            <w:tcW w:type="dxa" w:w="1800"/>
            <w:vAlign w:val="center"/>
            <w:tcMar>
              <w:top w:w="90" w:type="dxa"/>
              <w:bottom w:w="90" w:type="dxa"/>
              <w:start w:w="120" w:type="dxa"/>
              <w:end w:w="120" w:type="dxa"/>
            </w:tcMar>
          </w:tcPr>
          <w:p>
            <w:pPr>
              <w:spacing w:after="0" w:line="247" w:lineRule="auto"/>
            </w:pPr>
            <w:r>
              <w:rPr>
                <w:rFonts w:ascii="Calibri" w:hAnsi="Calibri"/>
                <w:b/>
                <w:color w:val="1F2937"/>
                <w:sz w:val="16"/>
              </w:rPr>
              <w:t>Migración</w:t>
            </w:r>
          </w:p>
        </w:tc>
        <w:tc>
          <w:tcPr>
            <w:tcW w:type="dxa" w:w="2450"/>
            <w:vAlign w:val="center"/>
            <w:tcMar>
              <w:top w:w="90" w:type="dxa"/>
              <w:bottom w:w="90" w:type="dxa"/>
              <w:start w:w="120" w:type="dxa"/>
              <w:end w:w="120" w:type="dxa"/>
            </w:tcMar>
          </w:tcPr>
          <w:p>
            <w:pPr>
              <w:spacing w:after="0" w:line="247" w:lineRule="auto"/>
            </w:pPr>
            <w:r>
              <w:rPr>
                <w:rFonts w:ascii="Calibri" w:hAnsi="Calibri"/>
                <w:b w:val="0"/>
                <w:color w:val="1F2937"/>
                <w:sz w:val="16"/>
              </w:rPr>
              <w:t>Proyecto único amortizado</w:t>
            </w:r>
          </w:p>
        </w:tc>
        <w:tc>
          <w:tcPr>
            <w:tcW w:type="dxa" w:w="5110"/>
            <w:vAlign w:val="center"/>
            <w:tcMar>
              <w:top w:w="90" w:type="dxa"/>
              <w:bottom w:w="90" w:type="dxa"/>
              <w:start w:w="120" w:type="dxa"/>
              <w:end w:w="120" w:type="dxa"/>
            </w:tcMar>
          </w:tcPr>
          <w:p>
            <w:pPr>
              <w:spacing w:after="0" w:line="247" w:lineRule="auto"/>
            </w:pPr>
            <w:r>
              <w:rPr>
                <w:rFonts w:ascii="Calibri" w:hAnsi="Calibri"/>
                <w:b w:val="0"/>
                <w:color w:val="1F2937"/>
                <w:sz w:val="16"/>
              </w:rPr>
              <w:t>Catálogo, SEO, diseño, contenidos, clientes, promociones, analytics, QA, capacitación y doble operación</w:t>
            </w:r>
          </w:p>
        </w:tc>
      </w:tr>
    </w:tbl>
    <w:p>
      <w:pPr>
        <w:keepLines/>
        <w:spacing w:after="40"/>
      </w:pPr>
    </w:p>
    <w:p>
      <w:pPr>
        <w:pStyle w:val="Heading2"/>
        <w:keepNext/>
        <w:keepLines/>
      </w:pPr>
      <w:r>
        <w:t>Referencias públicas al 18/08/2026</w:t>
      </w:r>
    </w:p>
    <w:p>
      <w:pPr>
        <w:pStyle w:val="ListBullet"/>
        <w:ind w:left="720" w:hanging="360"/>
      </w:pPr>
      <w:r>
        <w:rPr>
          <w:rFonts w:ascii="Calibri" w:hAnsi="Calibri"/>
          <w:color w:val="1F2937"/>
        </w:rPr>
        <w:t>Tiendanube Evolución no publica un precio fijo: se contrata mediante cotización. La propuesta debe detallar fee, costo por transacción, condiciones de Pago Nube, apps, desarrollo, migración y soporte. Evolución publica especialista dedicado, atención prioritaria, migración asistida, personalización avanzada y hasta tres centros de distribución.</w:t>
      </w:r>
    </w:p>
    <w:p>
      <w:pPr>
        <w:pStyle w:val="ListBullet"/>
        <w:ind w:left="720" w:hanging="360"/>
      </w:pPr>
      <w:r>
        <w:rPr>
          <w:rFonts w:ascii="Calibri" w:hAnsi="Calibri"/>
          <w:color w:val="1F2937"/>
        </w:rPr>
        <w:t>Shopify Argentina publica, con pago anual: Basic USD 19/mes, Grow USD 49/mes y Advanced USD 299/mes. Con proveedores de pago externos publica cargos adicionales de 2%, 1% y 0,6%, respectivamente. Argentina no figura en la lista consultada de Shopify Payments, por lo que debe presupuestarse un proveedor externo.</w:t>
      </w:r>
    </w:p>
    <w:p>
      <w:pPr>
        <w:pStyle w:val="ListBullet"/>
        <w:ind w:left="720" w:hanging="360"/>
      </w:pPr>
      <w:r>
        <w:rPr>
          <w:rFonts w:ascii="Calibri" w:hAnsi="Calibri"/>
          <w:color w:val="1F2937"/>
        </w:rPr>
        <w:t>Astroselling Argentina publica, con pago anual equivalente: Starter USD 22,42/mes, Pro USD 49,92/mes y Business USD 99,92/mes; también muestra valores mensuales superiores para Pro y Business. Los planes tienen límites de canales/SKU y cargos por órdenes excedentes.</w:t>
      </w:r>
    </w:p>
    <w:p>
      <w:pPr>
        <w:pStyle w:val="ListBullet"/>
        <w:ind w:left="720" w:hanging="360"/>
      </w:pPr>
      <w:r>
        <w:rPr>
          <w:rFonts w:ascii="Calibri" w:hAnsi="Calibri"/>
          <w:color w:val="1F2937"/>
        </w:rPr>
        <w:t>Producteca no muestra un precio simple comparable: sus términos describen implementación, servicios de customer success/KAM, licenciamiento según ventas/canales/usuarios y eventuales horas de desarrollo.</w:t>
      </w:r>
    </w:p>
    <w:p>
      <w:pPr>
        <w:keepLines/>
        <w:spacing w:before="80" w:after="80"/>
      </w:pPr>
      <w:r>
        <w:rPr>
          <w:rFonts w:ascii="Calibri" w:hAnsi="Calibri"/>
          <w:i/>
          <w:color w:val="5B6573"/>
          <w:sz w:val="16"/>
        </w:rPr>
        <w:t>Valores orientativos y volátiles. Revalidar con propuestas comerciales antes de decidir.</w:t>
      </w:r>
    </w:p>
    <w:p>
      <w:pPr>
        <w:pStyle w:val="Heading2"/>
        <w:keepNext/>
        <w:keepLines/>
      </w:pPr>
      <w:r>
        <w:t>Umbral sugerido para justificar la migración</w:t>
      </w:r>
    </w:p>
    <w:p>
      <w:pPr>
        <w:spacing w:after="120"/>
      </w:pPr>
      <w:r>
        <w:rPr>
          <w:rFonts w:ascii="Calibri" w:hAnsi="Calibri"/>
          <w:i w:val="0"/>
          <w:color w:val="1F2937"/>
        </w:rPr>
        <w:t>Dado el nivel bajo de ventas, priorizar alternativas que reduzcan al menos 25% del TCO actual y recuperen la inversión de migración dentro de 12 meses, sin dejar requisitos críticos sin solución ni degradar la experiencia visual. Estos porcentajes son criterios de gestión propuestos, no benchmarks del proveedor.</w:t>
      </w:r>
    </w:p>
    <w:p>
      <w:pPr>
        <w:spacing w:after="120"/>
      </w:pPr>
      <w:r>
        <w:rPr>
          <w:rFonts w:ascii="Calibri" w:hAnsi="Calibri"/>
          <w:i w:val="0"/>
          <w:color w:val="1F2937"/>
        </w:rPr>
        <w:t>Como Evolución es el nivel personalizado de Tiendanube, no debe usarse el precio de Esencial, Impulso o Escala para proyectar ahorro. La comparación válida requiere una cotización Evolución B2C completa y vinculante.</w:t>
      </w:r>
    </w:p>
    <w:p>
      <w:pPr>
        <w:pStyle w:val="Heading1"/>
        <w:keepNext/>
        <w:keepLines/>
      </w:pPr>
      <w:r>
        <w:t>5. Cuándo conviene cada opción</w:t>
      </w:r>
    </w:p>
    <w:p>
      <w:pPr>
        <w:pStyle w:val="Heading2"/>
        <w:keepNext/>
        <w:keepLines/>
      </w:pPr>
      <w:r>
        <w:t>Conviene continuar con VTEX cuando...</w:t>
      </w:r>
    </w:p>
    <w:p>
      <w:pPr>
        <w:pStyle w:val="ListBullet"/>
        <w:keepLines/>
        <w:ind w:left="720" w:hanging="360"/>
      </w:pPr>
      <w:r>
        <w:rPr>
          <w:rFonts w:ascii="Calibri" w:hAnsi="Calibri"/>
          <w:color w:val="1F2937"/>
        </w:rPr>
        <w:t>Las promociones, el checkout, los inventarios o el fulfillment tienen reglas que Tiendanube Evolución y Shopify no resuelven sin múltiples apps o desarrollo.</w:t>
      </w:r>
    </w:p>
    <w:p>
      <w:pPr>
        <w:pStyle w:val="ListBullet"/>
        <w:keepLines/>
        <w:ind w:left="720" w:hanging="360"/>
      </w:pPr>
      <w:r>
        <w:rPr>
          <w:rFonts w:ascii="Calibri" w:hAnsi="Calibri"/>
          <w:color w:val="1F2937"/>
        </w:rPr>
        <w:t>Una solución acotada permite resolver económicamente la condición 4x3 + 6 cuotas y simplificar su administración.</w:t>
      </w:r>
    </w:p>
    <w:p>
      <w:pPr>
        <w:pStyle w:val="ListBullet"/>
        <w:keepLines/>
        <w:ind w:left="720" w:hanging="360"/>
      </w:pPr>
      <w:r>
        <w:rPr>
          <w:rFonts w:ascii="Calibri" w:hAnsi="Calibri"/>
          <w:color w:val="1F2937"/>
        </w:rPr>
        <w:t>La app VTEX IO de cuotas/promociones es crítica y no existe reemplazo equivalente.</w:t>
      </w:r>
    </w:p>
    <w:p>
      <w:pPr>
        <w:pStyle w:val="ListBullet"/>
        <w:keepLines/>
        <w:ind w:left="720" w:hanging="360"/>
      </w:pPr>
      <w:r>
        <w:rPr>
          <w:rFonts w:ascii="Calibri" w:hAnsi="Calibri"/>
          <w:color w:val="1F2937"/>
        </w:rPr>
        <w:t>La operación proyecta más canales, centros, marcas, B2B, sellers o una experiencia altamente personalizada.</w:t>
      </w:r>
    </w:p>
    <w:p>
      <w:pPr>
        <w:pStyle w:val="ListBullet"/>
        <w:keepLines/>
        <w:ind w:left="720" w:hanging="360"/>
      </w:pPr>
      <w:r>
        <w:rPr>
          <w:rFonts w:ascii="Calibri" w:hAnsi="Calibri"/>
          <w:color w:val="1F2937"/>
        </w:rPr>
        <w:t>La estabilidad del flujo Producteca-VTEX es buena y el ahorro potencial no compensa el riesgo de migración.</w:t>
      </w:r>
    </w:p>
    <w:p>
      <w:pPr>
        <w:pStyle w:val="Heading2"/>
        <w:keepNext/>
        <w:keepLines/>
      </w:pPr>
      <w:r>
        <w:t>Conviene evaluar Tiendanube Evolución + Astroselling cuando...</w:t>
      </w:r>
    </w:p>
    <w:p>
      <w:pPr>
        <w:pStyle w:val="ListBullet"/>
        <w:keepLines/>
        <w:ind w:left="720" w:hanging="360"/>
      </w:pPr>
      <w:r>
        <w:rPr>
          <w:rFonts w:ascii="Calibri" w:hAnsi="Calibri"/>
          <w:color w:val="1F2937"/>
        </w:rPr>
        <w:t>La propuesta Evolución está alineada con el negocio B2C, la tienda propia y Mercado Libre sin pagar por complejidad innecesaria.</w:t>
      </w:r>
    </w:p>
    <w:p>
      <w:pPr>
        <w:pStyle w:val="ListBullet"/>
        <w:keepLines/>
        <w:ind w:left="720" w:hanging="360"/>
      </w:pPr>
      <w:r>
        <w:rPr>
          <w:rFonts w:ascii="Calibri" w:hAnsi="Calibri"/>
          <w:color w:val="1F2937"/>
        </w:rPr>
        <w:t>La prioridad es reducir costo fijo, dependencia técnica y tiempo administrativo.</w:t>
      </w:r>
    </w:p>
    <w:p>
      <w:pPr>
        <w:pStyle w:val="ListBullet"/>
        <w:keepLines/>
        <w:ind w:left="720" w:hanging="360"/>
      </w:pPr>
      <w:r>
        <w:rPr>
          <w:rFonts w:ascii="Calibri" w:hAnsi="Calibri"/>
          <w:color w:val="1F2937"/>
        </w:rPr>
        <w:t>El especialista dedicado, soporte y migración asistida compensan la dotación interna reducida.</w:t>
      </w:r>
    </w:p>
    <w:p>
      <w:pPr>
        <w:pStyle w:val="ListBullet"/>
        <w:keepLines/>
        <w:ind w:left="720" w:hanging="360"/>
      </w:pPr>
      <w:r>
        <w:rPr>
          <w:rFonts w:ascii="Calibri" w:hAnsi="Calibri"/>
          <w:color w:val="1F2937"/>
        </w:rPr>
        <w:t>La dotación reducida puede operar promociones, catálogo y pedidos desde flujos simples y documentados.</w:t>
      </w:r>
    </w:p>
    <w:p>
      <w:pPr>
        <w:pStyle w:val="ListBullet"/>
        <w:keepLines/>
        <w:ind w:left="720" w:hanging="360"/>
      </w:pPr>
      <w:r>
        <w:rPr>
          <w:rFonts w:ascii="Calibri" w:hAnsi="Calibri"/>
          <w:color w:val="1F2937"/>
        </w:rPr>
        <w:t>La demo resuelve de punta a punta el 4x3 limitado a 6 cuotas o propone una mecánica comercial equivalente aceptable.</w:t>
      </w:r>
    </w:p>
    <w:p>
      <w:pPr>
        <w:pStyle w:val="ListBullet"/>
        <w:keepLines/>
        <w:ind w:left="720" w:hanging="360"/>
      </w:pPr>
      <w:r>
        <w:rPr>
          <w:rFonts w:ascii="Calibri" w:hAnsi="Calibri"/>
          <w:color w:val="1F2937"/>
        </w:rPr>
        <w:t>Los requerimientos críticos quedan cubiertos por el plan elegido y aplicaciones con soporte/SLA aceptables.</w:t>
      </w:r>
    </w:p>
    <w:p>
      <w:pPr>
        <w:pStyle w:val="ListBullet"/>
        <w:keepLines/>
        <w:ind w:left="720" w:hanging="360"/>
      </w:pPr>
      <w:r>
        <w:rPr>
          <w:rFonts w:ascii="Calibri" w:hAnsi="Calibri"/>
          <w:color w:val="1F2937"/>
        </w:rPr>
        <w:t>El ahorro a 24 meses supera migración, capacitación, doble operación y recreación de funciones.</w:t>
      </w:r>
    </w:p>
    <w:p>
      <w:pPr>
        <w:pStyle w:val="Heading2"/>
        <w:keepNext/>
        <w:keepLines/>
      </w:pPr>
      <w:r>
        <w:t>Conviene evaluar Shopify + Astroselling cuando...</w:t>
      </w:r>
    </w:p>
    <w:p>
      <w:pPr>
        <w:pStyle w:val="ListBullet"/>
        <w:keepLines/>
        <w:ind w:left="720" w:hanging="360"/>
      </w:pPr>
      <w:r>
        <w:rPr>
          <w:rFonts w:ascii="Calibri" w:hAnsi="Calibri"/>
          <w:color w:val="1F2937"/>
        </w:rPr>
        <w:t>El recorrido B2C, diseño, experiencia móvil y ecosistema de aplicaciones superan a las otras alternativas en la prueba.</w:t>
      </w:r>
    </w:p>
    <w:p>
      <w:pPr>
        <w:pStyle w:val="ListBullet"/>
        <w:keepLines/>
        <w:ind w:left="720" w:hanging="360"/>
      </w:pPr>
      <w:r>
        <w:rPr>
          <w:rFonts w:ascii="Calibri" w:hAnsi="Calibri"/>
          <w:color w:val="1F2937"/>
        </w:rPr>
        <w:t>La calidad visual, la flexibilidad del theme y el ecosistema de aplicaciones pesan más que el acompañamiento y adaptación local de Tiendanube Evolución.</w:t>
      </w:r>
    </w:p>
    <w:p>
      <w:pPr>
        <w:pStyle w:val="ListBullet"/>
        <w:keepLines/>
        <w:ind w:left="720" w:hanging="360"/>
      </w:pPr>
      <w:r>
        <w:rPr>
          <w:rFonts w:ascii="Calibri" w:hAnsi="Calibri"/>
          <w:color w:val="1F2937"/>
        </w:rPr>
        <w:t>El TCO en USD, el gateway externo y los cargos por transacción siguen siendo menores que la arquitectura actual.</w:t>
      </w:r>
    </w:p>
    <w:p>
      <w:pPr>
        <w:pStyle w:val="ListBullet"/>
        <w:keepLines/>
        <w:ind w:left="720" w:hanging="360"/>
      </w:pPr>
      <w:r>
        <w:rPr>
          <w:rFonts w:ascii="Calibri" w:hAnsi="Calibri"/>
          <w:color w:val="1F2937"/>
        </w:rPr>
        <w:t>La promoción 4x3 + 6 cuotas puede resolverse y administrarse sin convertir al equipo en dependiente permanente de desarrollo.</w:t>
      </w:r>
    </w:p>
    <w:p>
      <w:pPr>
        <w:pStyle w:val="ListBullet"/>
        <w:keepLines/>
        <w:ind w:left="720" w:hanging="360"/>
      </w:pPr>
      <w:r>
        <w:rPr>
          <w:rFonts w:ascii="Calibri" w:hAnsi="Calibri"/>
          <w:color w:val="1F2937"/>
        </w:rPr>
        <w:t>Astroselling demuestra catálogo, stock, precio y pedidos con Shopify sobre los SKU reales de Saracho.</w:t>
      </w:r>
    </w:p>
    <w:p>
      <w:pPr>
        <w:pStyle w:val="Heading2"/>
        <w:keepNext/>
        <w:keepLines/>
      </w:pPr>
      <w:r>
        <w:t>Caso hipotético VTEX + Astroselling: cuándo descartarlo</w:t>
      </w:r>
    </w:p>
    <w:p>
      <w:pPr>
        <w:pStyle w:val="ListBullet"/>
        <w:keepLines/>
        <w:ind w:left="720" w:hanging="360"/>
      </w:pPr>
      <w:r>
        <w:rPr>
          <w:rFonts w:ascii="Calibri" w:hAnsi="Calibri"/>
          <w:color w:val="1F2937"/>
        </w:rPr>
        <w:t>La conexión VTEX depende solo de una API genérica o trabajo a medida sin SLA de punta a punta.</w:t>
      </w:r>
    </w:p>
    <w:p>
      <w:pPr>
        <w:pStyle w:val="ListBullet"/>
        <w:keepLines/>
        <w:ind w:left="720" w:hanging="360"/>
      </w:pPr>
      <w:r>
        <w:rPr>
          <w:rFonts w:ascii="Calibri" w:hAnsi="Calibri"/>
          <w:color w:val="1F2937"/>
        </w:rPr>
        <w:t>No se puede demostrar sincronización bidireccional de variantes, atributos, precios, stocks y pedidos.</w:t>
      </w:r>
    </w:p>
    <w:p>
      <w:pPr>
        <w:pStyle w:val="ListBullet"/>
        <w:keepLines/>
        <w:ind w:left="720" w:hanging="360"/>
      </w:pPr>
      <w:r>
        <w:rPr>
          <w:rFonts w:ascii="Calibri" w:hAnsi="Calibri"/>
          <w:color w:val="1F2937"/>
        </w:rPr>
        <w:t>El ahorro de licencia se traslada a más horas de Pirce, conciliación manual o riesgo de sobreventa.</w:t>
      </w:r>
    </w:p>
    <w:p>
      <w:pPr>
        <w:pStyle w:val="Heading1"/>
        <w:keepNext/>
        <w:keepLines/>
      </w:pPr>
      <w:r>
        <w:t>6. Riesgos de migración y controles</w:t>
      </w:r>
    </w:p>
    <w:tbl>
      <w:tblPr>
        <w:tblStyle w:val="TableGrid"/>
        <w:tblW w:type="dxa" w:w="9360"/>
        <w:jc w:val="left"/>
        <w:tblLayout w:type="fixed"/>
        <w:tblLook w:firstColumn="1" w:firstRow="1" w:lastColumn="0" w:lastRow="0" w:noHBand="0" w:noVBand="1" w:val="04A0"/>
        <w:tblInd w:type="dxa" w:w="120"/>
      </w:tblPr>
      <w:tblGrid>
        <w:gridCol w:w="1750"/>
        <w:gridCol w:w="2900"/>
        <w:gridCol w:w="4710"/>
      </w:tblGrid>
      <w:tr>
        <w:trPr>
          <w:tblHeader w:val="true"/>
        </w:trPr>
        <w:tc>
          <w:tcPr>
            <w:tcW w:type="dxa" w:w="1750"/>
            <w:shd w:fill="17365D"/>
            <w:vAlign w:val="center"/>
            <w:tcMar>
              <w:top w:w="90" w:type="dxa"/>
              <w:bottom w:w="90" w:type="dxa"/>
              <w:start w:w="120" w:type="dxa"/>
              <w:end w:w="120" w:type="dxa"/>
            </w:tcMar>
          </w:tcPr>
          <w:p>
            <w:pPr>
              <w:spacing w:after="0"/>
              <w:jc w:val="left"/>
            </w:pPr>
            <w:r>
              <w:rPr>
                <w:rFonts w:ascii="Calibri" w:hAnsi="Calibri"/>
                <w:b/>
                <w:color w:val="FFFFFF"/>
                <w:sz w:val="17"/>
              </w:rPr>
              <w:t>Riesgo</w:t>
            </w:r>
          </w:p>
        </w:tc>
        <w:tc>
          <w:tcPr>
            <w:tcW w:type="dxa" w:w="2900"/>
            <w:shd w:fill="17365D"/>
            <w:vAlign w:val="center"/>
            <w:tcMar>
              <w:top w:w="90" w:type="dxa"/>
              <w:bottom w:w="90" w:type="dxa"/>
              <w:start w:w="120" w:type="dxa"/>
              <w:end w:w="120" w:type="dxa"/>
            </w:tcMar>
          </w:tcPr>
          <w:p>
            <w:pPr>
              <w:spacing w:after="0"/>
              <w:jc w:val="left"/>
            </w:pPr>
            <w:r>
              <w:rPr>
                <w:rFonts w:ascii="Calibri" w:hAnsi="Calibri"/>
                <w:b/>
                <w:color w:val="FFFFFF"/>
                <w:sz w:val="17"/>
              </w:rPr>
              <w:t>Impacto</w:t>
            </w:r>
          </w:p>
        </w:tc>
        <w:tc>
          <w:tcPr>
            <w:tcW w:type="dxa" w:w="4710"/>
            <w:shd w:fill="17365D"/>
            <w:vAlign w:val="center"/>
            <w:tcMar>
              <w:top w:w="90" w:type="dxa"/>
              <w:bottom w:w="90" w:type="dxa"/>
              <w:start w:w="120" w:type="dxa"/>
              <w:end w:w="120" w:type="dxa"/>
            </w:tcMar>
          </w:tcPr>
          <w:p>
            <w:pPr>
              <w:spacing w:after="0"/>
              <w:jc w:val="left"/>
            </w:pPr>
            <w:r>
              <w:rPr>
                <w:rFonts w:ascii="Calibri" w:hAnsi="Calibri"/>
                <w:b/>
                <w:color w:val="FFFFFF"/>
                <w:sz w:val="17"/>
              </w:rPr>
              <w:t>Control mínimo</w:t>
            </w:r>
          </w:p>
        </w:tc>
      </w:tr>
      <w:tr>
        <w:trPr/>
        <w:tc>
          <w:tcPr>
            <w:tcW w:type="dxa" w:w="1750"/>
            <w:vAlign w:val="center"/>
            <w:tcMar>
              <w:top w:w="90" w:type="dxa"/>
              <w:bottom w:w="90" w:type="dxa"/>
              <w:start w:w="120" w:type="dxa"/>
              <w:end w:w="120" w:type="dxa"/>
            </w:tcMar>
          </w:tcPr>
          <w:p>
            <w:pPr>
              <w:spacing w:after="0" w:line="247" w:lineRule="auto"/>
            </w:pPr>
            <w:r>
              <w:rPr>
                <w:rFonts w:ascii="Calibri" w:hAnsi="Calibri"/>
                <w:b/>
                <w:color w:val="1F2937"/>
                <w:sz w:val="15"/>
              </w:rPr>
              <w:t>Identidad de SKU</w:t>
            </w:r>
          </w:p>
        </w:tc>
        <w:tc>
          <w:tcPr>
            <w:tcW w:type="dxa" w:w="2900"/>
            <w:vAlign w:val="center"/>
            <w:tcMar>
              <w:top w:w="90" w:type="dxa"/>
              <w:bottom w:w="90" w:type="dxa"/>
              <w:start w:w="120" w:type="dxa"/>
              <w:end w:w="120" w:type="dxa"/>
            </w:tcMar>
          </w:tcPr>
          <w:p>
            <w:pPr>
              <w:spacing w:after="0" w:line="247" w:lineRule="auto"/>
            </w:pPr>
            <w:r>
              <w:rPr>
                <w:rFonts w:ascii="Calibri" w:hAnsi="Calibri"/>
                <w:b w:val="0"/>
                <w:color w:val="1F2937"/>
                <w:sz w:val="15"/>
              </w:rPr>
              <w:t>Enlaces incorrectos, duplicados o stock cruzado</w:t>
            </w:r>
          </w:p>
        </w:tc>
        <w:tc>
          <w:tcPr>
            <w:tcW w:type="dxa" w:w="4710"/>
            <w:vAlign w:val="center"/>
            <w:tcMar>
              <w:top w:w="90" w:type="dxa"/>
              <w:bottom w:w="90" w:type="dxa"/>
              <w:start w:w="120" w:type="dxa"/>
              <w:end w:w="120" w:type="dxa"/>
            </w:tcMar>
          </w:tcPr>
          <w:p>
            <w:pPr>
              <w:spacing w:after="0" w:line="247" w:lineRule="auto"/>
            </w:pPr>
            <w:r>
              <w:rPr>
                <w:rFonts w:ascii="Calibri" w:hAnsi="Calibri"/>
                <w:b w:val="0"/>
                <w:color w:val="1F2937"/>
                <w:sz w:val="15"/>
              </w:rPr>
              <w:t>Maestro único por SKU/EAN; tabla de equivalencias; prohibir ediciones simultáneas</w:t>
            </w:r>
          </w:p>
        </w:tc>
      </w:tr>
      <w:tr>
        <w:trPr/>
        <w:tc>
          <w:tcPr>
            <w:tcW w:type="dxa" w:w="1750"/>
            <w:vAlign w:val="center"/>
            <w:shd w:fill="F8FAFC"/>
            <w:tcMar>
              <w:top w:w="90" w:type="dxa"/>
              <w:bottom w:w="90" w:type="dxa"/>
              <w:start w:w="120" w:type="dxa"/>
              <w:end w:w="120" w:type="dxa"/>
            </w:tcMar>
          </w:tcPr>
          <w:p>
            <w:pPr>
              <w:spacing w:after="0" w:line="247" w:lineRule="auto"/>
            </w:pPr>
            <w:r>
              <w:rPr>
                <w:rFonts w:ascii="Calibri" w:hAnsi="Calibri"/>
                <w:b/>
                <w:color w:val="1F2937"/>
                <w:sz w:val="15"/>
              </w:rPr>
              <w:t>Catálogo de neumáticos</w:t>
            </w:r>
          </w:p>
        </w:tc>
        <w:tc>
          <w:tcPr>
            <w:tcW w:type="dxa" w:w="2900"/>
            <w:vAlign w:val="center"/>
            <w:shd w:fill="F8FAFC"/>
            <w:tcMar>
              <w:top w:w="90" w:type="dxa"/>
              <w:bottom w:w="90" w:type="dxa"/>
              <w:start w:w="120" w:type="dxa"/>
              <w:end w:w="120" w:type="dxa"/>
            </w:tcMar>
          </w:tcPr>
          <w:p>
            <w:pPr>
              <w:spacing w:after="0" w:line="247" w:lineRule="auto"/>
            </w:pPr>
            <w:r>
              <w:rPr>
                <w:rFonts w:ascii="Calibri" w:hAnsi="Calibri"/>
                <w:b w:val="0"/>
                <w:color w:val="1F2937"/>
                <w:sz w:val="15"/>
              </w:rPr>
              <w:t>Pérdida de atributos, filtros, kits x2/x4, dimensiones o SEO</w:t>
            </w:r>
          </w:p>
        </w:tc>
        <w:tc>
          <w:tcPr>
            <w:tcW w:type="dxa" w:w="4710"/>
            <w:vAlign w:val="center"/>
            <w:shd w:fill="F8FAFC"/>
            <w:tcMar>
              <w:top w:w="90" w:type="dxa"/>
              <w:bottom w:w="90" w:type="dxa"/>
              <w:start w:w="120" w:type="dxa"/>
              <w:end w:w="120" w:type="dxa"/>
            </w:tcMar>
          </w:tcPr>
          <w:p>
            <w:pPr>
              <w:spacing w:after="0" w:line="247" w:lineRule="auto"/>
            </w:pPr>
            <w:r>
              <w:rPr>
                <w:rFonts w:ascii="Calibri" w:hAnsi="Calibri"/>
                <w:b w:val="0"/>
                <w:color w:val="1F2937"/>
                <w:sz w:val="15"/>
              </w:rPr>
              <w:t>Exportación completa; muestra de QA; reconciliación por campos y variantes</w:t>
            </w:r>
          </w:p>
        </w:tc>
      </w:tr>
      <w:tr>
        <w:trPr/>
        <w:tc>
          <w:tcPr>
            <w:tcW w:type="dxa" w:w="1750"/>
            <w:vAlign w:val="center"/>
            <w:tcMar>
              <w:top w:w="90" w:type="dxa"/>
              <w:bottom w:w="90" w:type="dxa"/>
              <w:start w:w="120" w:type="dxa"/>
              <w:end w:w="120" w:type="dxa"/>
            </w:tcMar>
          </w:tcPr>
          <w:p>
            <w:pPr>
              <w:spacing w:after="0" w:line="247" w:lineRule="auto"/>
            </w:pPr>
            <w:r>
              <w:rPr>
                <w:rFonts w:ascii="Calibri" w:hAnsi="Calibri"/>
                <w:b/>
                <w:color w:val="1F2937"/>
                <w:sz w:val="15"/>
              </w:rPr>
              <w:t>Stock/precio</w:t>
            </w:r>
          </w:p>
        </w:tc>
        <w:tc>
          <w:tcPr>
            <w:tcW w:type="dxa" w:w="2900"/>
            <w:vAlign w:val="center"/>
            <w:tcMar>
              <w:top w:w="90" w:type="dxa"/>
              <w:bottom w:w="90" w:type="dxa"/>
              <w:start w:w="120" w:type="dxa"/>
              <w:end w:w="120" w:type="dxa"/>
            </w:tcMar>
          </w:tcPr>
          <w:p>
            <w:pPr>
              <w:spacing w:after="0" w:line="247" w:lineRule="auto"/>
            </w:pPr>
            <w:r>
              <w:rPr>
                <w:rFonts w:ascii="Calibri" w:hAnsi="Calibri"/>
                <w:b w:val="0"/>
                <w:color w:val="1F2937"/>
                <w:sz w:val="15"/>
              </w:rPr>
              <w:t>Sobreventa, precio desactualizado o margen incorrecto</w:t>
            </w:r>
          </w:p>
        </w:tc>
        <w:tc>
          <w:tcPr>
            <w:tcW w:type="dxa" w:w="4710"/>
            <w:vAlign w:val="center"/>
            <w:tcMar>
              <w:top w:w="90" w:type="dxa"/>
              <w:bottom w:w="90" w:type="dxa"/>
              <w:start w:w="120" w:type="dxa"/>
              <w:end w:w="120" w:type="dxa"/>
            </w:tcMar>
          </w:tcPr>
          <w:p>
            <w:pPr>
              <w:spacing w:after="0" w:line="247" w:lineRule="auto"/>
            </w:pPr>
            <w:r>
              <w:rPr>
                <w:rFonts w:ascii="Calibri" w:hAnsi="Calibri"/>
                <w:b w:val="0"/>
                <w:color w:val="1F2937"/>
                <w:sz w:val="15"/>
              </w:rPr>
              <w:t>Pruebas de concurrencia; alertas; comparación automática; stock de seguridad</w:t>
            </w:r>
          </w:p>
        </w:tc>
      </w:tr>
      <w:tr>
        <w:trPr/>
        <w:tc>
          <w:tcPr>
            <w:tcW w:type="dxa" w:w="1750"/>
            <w:vAlign w:val="center"/>
            <w:shd w:fill="F8FAFC"/>
            <w:tcMar>
              <w:top w:w="90" w:type="dxa"/>
              <w:bottom w:w="90" w:type="dxa"/>
              <w:start w:w="120" w:type="dxa"/>
              <w:end w:w="120" w:type="dxa"/>
            </w:tcMar>
          </w:tcPr>
          <w:p>
            <w:pPr>
              <w:spacing w:after="0" w:line="247" w:lineRule="auto"/>
            </w:pPr>
            <w:r>
              <w:rPr>
                <w:rFonts w:ascii="Calibri" w:hAnsi="Calibri"/>
                <w:b/>
                <w:color w:val="1F2937"/>
                <w:sz w:val="15"/>
              </w:rPr>
              <w:t>Pedidos</w:t>
            </w:r>
          </w:p>
        </w:tc>
        <w:tc>
          <w:tcPr>
            <w:tcW w:type="dxa" w:w="2900"/>
            <w:vAlign w:val="center"/>
            <w:shd w:fill="F8FAFC"/>
            <w:tcMar>
              <w:top w:w="90" w:type="dxa"/>
              <w:bottom w:w="90" w:type="dxa"/>
              <w:start w:w="120" w:type="dxa"/>
              <w:end w:w="120" w:type="dxa"/>
            </w:tcMar>
          </w:tcPr>
          <w:p>
            <w:pPr>
              <w:spacing w:after="0" w:line="247" w:lineRule="auto"/>
            </w:pPr>
            <w:r>
              <w:rPr>
                <w:rFonts w:ascii="Calibri" w:hAnsi="Calibri"/>
                <w:b w:val="0"/>
                <w:color w:val="1F2937"/>
                <w:sz w:val="15"/>
              </w:rPr>
              <w:t>Órdenes incompletas, duplicadas o sin facturación</w:t>
            </w:r>
          </w:p>
        </w:tc>
        <w:tc>
          <w:tcPr>
            <w:tcW w:type="dxa" w:w="4710"/>
            <w:vAlign w:val="center"/>
            <w:shd w:fill="F8FAFC"/>
            <w:tcMar>
              <w:top w:w="90" w:type="dxa"/>
              <w:bottom w:w="90" w:type="dxa"/>
              <w:start w:w="120" w:type="dxa"/>
              <w:end w:w="120" w:type="dxa"/>
            </w:tcMar>
          </w:tcPr>
          <w:p>
            <w:pPr>
              <w:spacing w:after="0" w:line="247" w:lineRule="auto"/>
            </w:pPr>
            <w:r>
              <w:rPr>
                <w:rFonts w:ascii="Calibri" w:hAnsi="Calibri"/>
                <w:b w:val="0"/>
                <w:color w:val="1F2937"/>
                <w:sz w:val="15"/>
              </w:rPr>
              <w:t>Idempotencia; estados mapeados; reintentos; conciliación diaria</w:t>
            </w:r>
          </w:p>
        </w:tc>
      </w:tr>
      <w:tr>
        <w:trPr/>
        <w:tc>
          <w:tcPr>
            <w:tcW w:type="dxa" w:w="1750"/>
            <w:vAlign w:val="center"/>
            <w:tcMar>
              <w:top w:w="90" w:type="dxa"/>
              <w:bottom w:w="90" w:type="dxa"/>
              <w:start w:w="120" w:type="dxa"/>
              <w:end w:w="120" w:type="dxa"/>
            </w:tcMar>
          </w:tcPr>
          <w:p>
            <w:pPr>
              <w:spacing w:after="0" w:line="247" w:lineRule="auto"/>
            </w:pPr>
            <w:r>
              <w:rPr>
                <w:rFonts w:ascii="Calibri" w:hAnsi="Calibri"/>
                <w:b/>
                <w:color w:val="1F2937"/>
                <w:sz w:val="15"/>
              </w:rPr>
              <w:t>Promociones/cuotas</w:t>
            </w:r>
          </w:p>
        </w:tc>
        <w:tc>
          <w:tcPr>
            <w:tcW w:type="dxa" w:w="2900"/>
            <w:vAlign w:val="center"/>
            <w:tcMar>
              <w:top w:w="90" w:type="dxa"/>
              <w:bottom w:w="90" w:type="dxa"/>
              <w:start w:w="120" w:type="dxa"/>
              <w:end w:w="120" w:type="dxa"/>
            </w:tcMar>
          </w:tcPr>
          <w:p>
            <w:pPr>
              <w:spacing w:after="0" w:line="247" w:lineRule="auto"/>
            </w:pPr>
            <w:r>
              <w:rPr>
                <w:rFonts w:ascii="Calibri" w:hAnsi="Calibri"/>
                <w:b w:val="0"/>
                <w:color w:val="1F2937"/>
                <w:sz w:val="15"/>
              </w:rPr>
              <w:t>Aplicar 4x3 con financiación incorrecta o comunicar condiciones inconsistentes</w:t>
            </w:r>
          </w:p>
        </w:tc>
        <w:tc>
          <w:tcPr>
            <w:tcW w:type="dxa" w:w="4710"/>
            <w:vAlign w:val="center"/>
            <w:tcMar>
              <w:top w:w="90" w:type="dxa"/>
              <w:bottom w:w="90" w:type="dxa"/>
              <w:start w:w="120" w:type="dxa"/>
              <w:end w:w="120" w:type="dxa"/>
            </w:tcMar>
          </w:tcPr>
          <w:p>
            <w:pPr>
              <w:spacing w:after="0" w:line="247" w:lineRule="auto"/>
            </w:pPr>
            <w:r>
              <w:rPr>
                <w:rFonts w:ascii="Calibri" w:hAnsi="Calibri"/>
                <w:b w:val="0"/>
                <w:color w:val="1F2937"/>
                <w:sz w:val="15"/>
              </w:rPr>
              <w:t>Probar 4x3 solo en 6 cuotas; combinaciones, exclusiones, visualización y pedido final</w:t>
            </w:r>
          </w:p>
        </w:tc>
      </w:tr>
      <w:tr>
        <w:trPr/>
        <w:tc>
          <w:tcPr>
            <w:tcW w:type="dxa" w:w="1750"/>
            <w:vAlign w:val="center"/>
            <w:shd w:fill="F8FAFC"/>
            <w:tcMar>
              <w:top w:w="90" w:type="dxa"/>
              <w:bottom w:w="90" w:type="dxa"/>
              <w:start w:w="120" w:type="dxa"/>
              <w:end w:w="120" w:type="dxa"/>
            </w:tcMar>
          </w:tcPr>
          <w:p>
            <w:pPr>
              <w:spacing w:after="0" w:line="247" w:lineRule="auto"/>
            </w:pPr>
            <w:r>
              <w:rPr>
                <w:rFonts w:ascii="Calibri" w:hAnsi="Calibri"/>
                <w:b/>
                <w:color w:val="1F2937"/>
                <w:sz w:val="15"/>
              </w:rPr>
              <w:t>SEO y URLs</w:t>
            </w:r>
          </w:p>
        </w:tc>
        <w:tc>
          <w:tcPr>
            <w:tcW w:type="dxa" w:w="2900"/>
            <w:vAlign w:val="center"/>
            <w:shd w:fill="F8FAFC"/>
            <w:tcMar>
              <w:top w:w="90" w:type="dxa"/>
              <w:bottom w:w="90" w:type="dxa"/>
              <w:start w:w="120" w:type="dxa"/>
              <w:end w:w="120" w:type="dxa"/>
            </w:tcMar>
          </w:tcPr>
          <w:p>
            <w:pPr>
              <w:spacing w:after="0" w:line="247" w:lineRule="auto"/>
            </w:pPr>
            <w:r>
              <w:rPr>
                <w:rFonts w:ascii="Calibri" w:hAnsi="Calibri"/>
                <w:b w:val="0"/>
                <w:color w:val="1F2937"/>
                <w:sz w:val="15"/>
              </w:rPr>
              <w:t>Caída de tráfico orgánico</w:t>
            </w:r>
          </w:p>
        </w:tc>
        <w:tc>
          <w:tcPr>
            <w:tcW w:type="dxa" w:w="4710"/>
            <w:vAlign w:val="center"/>
            <w:shd w:fill="F8FAFC"/>
            <w:tcMar>
              <w:top w:w="90" w:type="dxa"/>
              <w:bottom w:w="90" w:type="dxa"/>
              <w:start w:w="120" w:type="dxa"/>
              <w:end w:w="120" w:type="dxa"/>
            </w:tcMar>
          </w:tcPr>
          <w:p>
            <w:pPr>
              <w:spacing w:after="0" w:line="247" w:lineRule="auto"/>
            </w:pPr>
            <w:r>
              <w:rPr>
                <w:rFonts w:ascii="Calibri" w:hAnsi="Calibri"/>
                <w:b w:val="0"/>
                <w:color w:val="1F2937"/>
                <w:sz w:val="15"/>
              </w:rPr>
              <w:t>Mapa 301, metadatos, canonicals, Search Console y monitoreo 90 días</w:t>
            </w:r>
          </w:p>
        </w:tc>
      </w:tr>
      <w:tr>
        <w:trPr/>
        <w:tc>
          <w:tcPr>
            <w:tcW w:type="dxa" w:w="1750"/>
            <w:vAlign w:val="center"/>
            <w:tcMar>
              <w:top w:w="90" w:type="dxa"/>
              <w:bottom w:w="90" w:type="dxa"/>
              <w:start w:w="120" w:type="dxa"/>
              <w:end w:w="120" w:type="dxa"/>
            </w:tcMar>
          </w:tcPr>
          <w:p>
            <w:pPr>
              <w:spacing w:after="0" w:line="247" w:lineRule="auto"/>
            </w:pPr>
            <w:r>
              <w:rPr>
                <w:rFonts w:ascii="Calibri" w:hAnsi="Calibri"/>
                <w:b/>
                <w:color w:val="1F2937"/>
                <w:sz w:val="15"/>
              </w:rPr>
              <w:t>Clientes y datos</w:t>
            </w:r>
          </w:p>
        </w:tc>
        <w:tc>
          <w:tcPr>
            <w:tcW w:type="dxa" w:w="2900"/>
            <w:vAlign w:val="center"/>
            <w:tcMar>
              <w:top w:w="90" w:type="dxa"/>
              <w:bottom w:w="90" w:type="dxa"/>
              <w:start w:w="120" w:type="dxa"/>
              <w:end w:w="120" w:type="dxa"/>
            </w:tcMar>
          </w:tcPr>
          <w:p>
            <w:pPr>
              <w:spacing w:after="0" w:line="247" w:lineRule="auto"/>
            </w:pPr>
            <w:r>
              <w:rPr>
                <w:rFonts w:ascii="Calibri" w:hAnsi="Calibri"/>
                <w:b w:val="0"/>
                <w:color w:val="1F2937"/>
                <w:sz w:val="15"/>
              </w:rPr>
              <w:t>Históricos incompletos o problemas de privacidad</w:t>
            </w:r>
          </w:p>
        </w:tc>
        <w:tc>
          <w:tcPr>
            <w:tcW w:type="dxa" w:w="4710"/>
            <w:vAlign w:val="center"/>
            <w:tcMar>
              <w:top w:w="90" w:type="dxa"/>
              <w:bottom w:w="90" w:type="dxa"/>
              <w:start w:w="120" w:type="dxa"/>
              <w:end w:w="120" w:type="dxa"/>
            </w:tcMar>
          </w:tcPr>
          <w:p>
            <w:pPr>
              <w:spacing w:after="0" w:line="247" w:lineRule="auto"/>
            </w:pPr>
            <w:r>
              <w:rPr>
                <w:rFonts w:ascii="Calibri" w:hAnsi="Calibri"/>
                <w:b w:val="0"/>
                <w:color w:val="1F2937"/>
                <w:sz w:val="15"/>
              </w:rPr>
              <w:t>Definir qué migra, consentimiento, seguridad, retención y acceso</w:t>
            </w:r>
          </w:p>
        </w:tc>
      </w:tr>
      <w:tr>
        <w:trPr/>
        <w:tc>
          <w:tcPr>
            <w:tcW w:type="dxa" w:w="1750"/>
            <w:vAlign w:val="center"/>
            <w:shd w:fill="F8FAFC"/>
            <w:tcMar>
              <w:top w:w="90" w:type="dxa"/>
              <w:bottom w:w="90" w:type="dxa"/>
              <w:start w:w="120" w:type="dxa"/>
              <w:end w:w="120" w:type="dxa"/>
            </w:tcMar>
          </w:tcPr>
          <w:p>
            <w:pPr>
              <w:spacing w:after="0" w:line="247" w:lineRule="auto"/>
            </w:pPr>
            <w:r>
              <w:rPr>
                <w:rFonts w:ascii="Calibri" w:hAnsi="Calibri"/>
                <w:b/>
                <w:color w:val="1F2937"/>
                <w:sz w:val="15"/>
              </w:rPr>
              <w:t>Responsabilidades</w:t>
            </w:r>
          </w:p>
        </w:tc>
        <w:tc>
          <w:tcPr>
            <w:tcW w:type="dxa" w:w="2900"/>
            <w:vAlign w:val="center"/>
            <w:shd w:fill="F8FAFC"/>
            <w:tcMar>
              <w:top w:w="90" w:type="dxa"/>
              <w:bottom w:w="90" w:type="dxa"/>
              <w:start w:w="120" w:type="dxa"/>
              <w:end w:w="120" w:type="dxa"/>
            </w:tcMar>
          </w:tcPr>
          <w:p>
            <w:pPr>
              <w:spacing w:after="0" w:line="247" w:lineRule="auto"/>
            </w:pPr>
            <w:r>
              <w:rPr>
                <w:rFonts w:ascii="Calibri" w:hAnsi="Calibri"/>
                <w:b w:val="0"/>
                <w:color w:val="1F2937"/>
                <w:sz w:val="15"/>
              </w:rPr>
              <w:t>Incidentes rebotan entre plataforma, app e integrador</w:t>
            </w:r>
          </w:p>
        </w:tc>
        <w:tc>
          <w:tcPr>
            <w:tcW w:type="dxa" w:w="4710"/>
            <w:vAlign w:val="center"/>
            <w:shd w:fill="F8FAFC"/>
            <w:tcMar>
              <w:top w:w="90" w:type="dxa"/>
              <w:bottom w:w="90" w:type="dxa"/>
              <w:start w:w="120" w:type="dxa"/>
              <w:end w:w="120" w:type="dxa"/>
            </w:tcMar>
          </w:tcPr>
          <w:p>
            <w:pPr>
              <w:spacing w:after="0" w:line="247" w:lineRule="auto"/>
            </w:pPr>
            <w:r>
              <w:rPr>
                <w:rFonts w:ascii="Calibri" w:hAnsi="Calibri"/>
                <w:b w:val="0"/>
                <w:color w:val="1F2937"/>
                <w:sz w:val="15"/>
              </w:rPr>
              <w:t>Matriz RACI y SLA de punta a punta con un dueño por dato</w:t>
            </w:r>
          </w:p>
        </w:tc>
      </w:tr>
      <w:tr>
        <w:trPr/>
        <w:tc>
          <w:tcPr>
            <w:tcW w:type="dxa" w:w="1750"/>
            <w:vAlign w:val="center"/>
            <w:tcMar>
              <w:top w:w="90" w:type="dxa"/>
              <w:bottom w:w="90" w:type="dxa"/>
              <w:start w:w="120" w:type="dxa"/>
              <w:end w:w="120" w:type="dxa"/>
            </w:tcMar>
          </w:tcPr>
          <w:p>
            <w:pPr>
              <w:spacing w:after="0" w:line="247" w:lineRule="auto"/>
            </w:pPr>
            <w:r>
              <w:rPr>
                <w:rFonts w:ascii="Calibri" w:hAnsi="Calibri"/>
                <w:b/>
                <w:color w:val="1F2937"/>
                <w:sz w:val="15"/>
              </w:rPr>
              <w:t>Dotación reducida</w:t>
            </w:r>
          </w:p>
        </w:tc>
        <w:tc>
          <w:tcPr>
            <w:tcW w:type="dxa" w:w="2900"/>
            <w:vAlign w:val="center"/>
            <w:tcMar>
              <w:top w:w="90" w:type="dxa"/>
              <w:bottom w:w="90" w:type="dxa"/>
              <w:start w:w="120" w:type="dxa"/>
              <w:end w:w="120" w:type="dxa"/>
            </w:tcMar>
          </w:tcPr>
          <w:p>
            <w:pPr>
              <w:spacing w:after="0" w:line="247" w:lineRule="auto"/>
            </w:pPr>
            <w:r>
              <w:rPr>
                <w:rFonts w:ascii="Calibri" w:hAnsi="Calibri"/>
                <w:b w:val="0"/>
                <w:color w:val="1F2937"/>
                <w:sz w:val="15"/>
              </w:rPr>
              <w:t>El equipo no absorbe controles, errores o varios paneles</w:t>
            </w:r>
          </w:p>
        </w:tc>
        <w:tc>
          <w:tcPr>
            <w:tcW w:type="dxa" w:w="4710"/>
            <w:vAlign w:val="center"/>
            <w:tcMar>
              <w:top w:w="90" w:type="dxa"/>
              <w:bottom w:w="90" w:type="dxa"/>
              <w:start w:w="120" w:type="dxa"/>
              <w:end w:w="120" w:type="dxa"/>
            </w:tcMar>
          </w:tcPr>
          <w:p>
            <w:pPr>
              <w:spacing w:after="0" w:line="247" w:lineRule="auto"/>
            </w:pPr>
            <w:r>
              <w:rPr>
                <w:rFonts w:ascii="Calibri" w:hAnsi="Calibri"/>
                <w:b w:val="0"/>
                <w:color w:val="1F2937"/>
                <w:sz w:val="15"/>
              </w:rPr>
              <w:t>Medir horas y pasos; automatizar; manual operativo; soporte con dueño único</w:t>
            </w:r>
          </w:p>
        </w:tc>
      </w:tr>
      <w:tr>
        <w:trPr/>
        <w:tc>
          <w:tcPr>
            <w:tcW w:type="dxa" w:w="1750"/>
            <w:vAlign w:val="center"/>
            <w:shd w:fill="F8FAFC"/>
            <w:tcMar>
              <w:top w:w="90" w:type="dxa"/>
              <w:bottom w:w="90" w:type="dxa"/>
              <w:start w:w="120" w:type="dxa"/>
              <w:end w:w="120" w:type="dxa"/>
            </w:tcMar>
          </w:tcPr>
          <w:p>
            <w:pPr>
              <w:spacing w:after="0" w:line="247" w:lineRule="auto"/>
            </w:pPr>
            <w:r>
              <w:rPr>
                <w:rFonts w:ascii="Calibri" w:hAnsi="Calibri"/>
                <w:b/>
                <w:color w:val="1F2937"/>
                <w:sz w:val="15"/>
              </w:rPr>
              <w:t>Cutover</w:t>
            </w:r>
          </w:p>
        </w:tc>
        <w:tc>
          <w:tcPr>
            <w:tcW w:type="dxa" w:w="2900"/>
            <w:vAlign w:val="center"/>
            <w:shd w:fill="F8FAFC"/>
            <w:tcMar>
              <w:top w:w="90" w:type="dxa"/>
              <w:bottom w:w="90" w:type="dxa"/>
              <w:start w:w="120" w:type="dxa"/>
              <w:end w:w="120" w:type="dxa"/>
            </w:tcMar>
          </w:tcPr>
          <w:p>
            <w:pPr>
              <w:spacing w:after="0" w:line="247" w:lineRule="auto"/>
            </w:pPr>
            <w:r>
              <w:rPr>
                <w:rFonts w:ascii="Calibri" w:hAnsi="Calibri"/>
                <w:b w:val="0"/>
                <w:color w:val="1F2937"/>
                <w:sz w:val="15"/>
              </w:rPr>
              <w:t>Interrupción de venta o imposibilidad de volver atrás</w:t>
            </w:r>
          </w:p>
        </w:tc>
        <w:tc>
          <w:tcPr>
            <w:tcW w:type="dxa" w:w="4710"/>
            <w:vAlign w:val="center"/>
            <w:shd w:fill="F8FAFC"/>
            <w:tcMar>
              <w:top w:w="90" w:type="dxa"/>
              <w:bottom w:w="90" w:type="dxa"/>
              <w:start w:w="120" w:type="dxa"/>
              <w:end w:w="120" w:type="dxa"/>
            </w:tcMar>
          </w:tcPr>
          <w:p>
            <w:pPr>
              <w:spacing w:after="0" w:line="247" w:lineRule="auto"/>
            </w:pPr>
            <w:r>
              <w:rPr>
                <w:rFonts w:ascii="Calibri" w:hAnsi="Calibri"/>
                <w:b w:val="0"/>
                <w:color w:val="1F2937"/>
                <w:sz w:val="15"/>
              </w:rPr>
              <w:t>Doble operación limitada, congelamiento, checklist y rollback probado</w:t>
            </w:r>
          </w:p>
        </w:tc>
      </w:tr>
    </w:tbl>
    <w:p>
      <w:pPr>
        <w:keepLines/>
        <w:spacing w:after="40"/>
      </w:pPr>
    </w:p>
    <w:tbl>
      <w:tblPr>
        <w:tblW w:type="dxa" w:w="9360"/>
        <w:jc w:val="left"/>
        <w:tblLayout w:type="fixed"/>
        <w:tblLook w:firstColumn="1" w:firstRow="1" w:lastColumn="0" w:lastRow="0" w:noHBand="0" w:noVBand="1" w:val="04A0"/>
        <w:tblInd w:type="dxa" w:w="180"/>
      </w:tblPr>
      <w:tblGrid>
        <w:gridCol w:w="9360"/>
      </w:tblGrid>
      <w:tr>
        <w:trPr>
          <w:tblHeader w:val="true"/>
        </w:trPr>
        <w:tc>
          <w:tcPr>
            <w:tcW w:type="dxa" w:w="9360"/>
            <w:shd w:fill="FFF4DE"/>
            <w:tcBorders>
              <w:top w:val="nil"/>
              <w:left w:val="single" w:sz="26" w:space="0" w:color="B36B00"/>
              <w:bottom w:val="nil"/>
              <w:right w:val="nil"/>
            </w:tcBorders>
            <w:tcMar>
              <w:top w:w="130" w:type="dxa"/>
              <w:bottom w:w="130" w:type="dxa"/>
              <w:start w:w="180" w:type="dxa"/>
              <w:end w:w="180" w:type="dxa"/>
            </w:tcMar>
          </w:tcPr>
          <w:p>
            <w:pPr>
              <w:spacing w:after="40"/>
            </w:pPr>
            <w:r>
              <w:rPr>
                <w:rFonts w:ascii="Calibri" w:hAnsi="Calibri"/>
                <w:b/>
                <w:color w:val="B36B00"/>
                <w:sz w:val="18"/>
              </w:rPr>
              <w:t>RIESGO ESPECÍFICO DE SARACHO</w:t>
            </w:r>
          </w:p>
          <w:p>
            <w:pPr>
              <w:spacing w:after="20" w:line="259" w:lineRule="auto"/>
            </w:pPr>
            <w:r>
              <w:rPr>
                <w:rFonts w:ascii="Calibri" w:hAnsi="Calibri"/>
                <w:b/>
                <w:color w:val="1F2937"/>
                <w:sz w:val="21"/>
              </w:rPr>
              <w:t>El catálogo de neumáticos combina medidas, variantes, marcas, kits, dimensiones logísticas y datos SEO. El identificador de enlace no puede improvisarse: SKU de referencia y EAN deben estar completos y ser estables antes del piloto.</w:t>
            </w:r>
          </w:p>
        </w:tc>
      </w:tr>
    </w:tbl>
    <w:p>
      <w:pPr>
        <w:keepLines/>
        <w:spacing w:after="20"/>
      </w:pPr>
    </w:p>
    <w:p>
      <w:pPr>
        <w:keepLines/>
      </w:pPr>
      <w:r>
        <w:br w:type="page"/>
      </w:r>
    </w:p>
    <w:p>
      <w:pPr>
        <w:pStyle w:val="Heading1"/>
        <w:keepNext/>
        <w:keepLines/>
      </w:pPr>
      <w:r>
        <w:t>7. Plan de decisión recomendado</w:t>
      </w:r>
    </w:p>
    <w:p>
      <w:pPr>
        <w:pStyle w:val="ListNumber"/>
        <w:keepLines/>
      </w:pPr>
      <w:r>
        <w:rPr>
          <w:rFonts w:ascii="Calibri" w:hAnsi="Calibri"/>
          <w:b/>
          <w:color w:val="17365D"/>
        </w:rPr>
        <w:t>1. Medir la base actual — 2 semanas</w:t>
      </w:r>
      <w:r>
        <w:rPr>
          <w:rFonts w:ascii="Calibri" w:hAnsi="Calibri"/>
          <w:color w:val="1F2937"/>
        </w:rPr>
        <w:t>. Consolidar facturas, GMV, pedidos, SKU, horas del equipo, tareas manuales, incidentes, latencia de sincronización y alcance real de Pirce.</w:t>
      </w:r>
    </w:p>
    <w:p>
      <w:pPr>
        <w:pStyle w:val="ListNumber"/>
      </w:pPr>
      <w:r>
        <w:rPr>
          <w:rFonts w:ascii="Calibri" w:hAnsi="Calibri"/>
          <w:b/>
          <w:color w:val="17365D"/>
        </w:rPr>
        <w:t>2. Cerrar requisitos críticos — 1 semana</w:t>
      </w:r>
      <w:r>
        <w:rPr>
          <w:rFonts w:ascii="Calibri" w:hAnsi="Calibri"/>
          <w:color w:val="1F2937"/>
        </w:rPr>
        <w:t>. Documentar el recorrido B2C, búsqueda por medida, matriz promocional 4x3 + 6 cuotas, pagos, envíos, Mercado Libre, SEO, reportes y customizaciones.</w:t>
      </w:r>
    </w:p>
    <w:p>
      <w:pPr>
        <w:pStyle w:val="ListNumber"/>
      </w:pPr>
      <w:r>
        <w:rPr>
          <w:rFonts w:ascii="Calibri" w:hAnsi="Calibri"/>
          <w:b/>
          <w:color w:val="17365D"/>
        </w:rPr>
        <w:t>3. Solicitar respuestas vinculantes — 1 a 2 semanas</w:t>
      </w:r>
      <w:r>
        <w:rPr>
          <w:rFonts w:ascii="Calibri" w:hAnsi="Calibri"/>
          <w:color w:val="1F2937"/>
        </w:rPr>
        <w:t>. Obtener una cotización Tiendanube Evolución completa y pedir a todos los proveedores alcance, límites, SLA, seguridad, soporte, costos y responsabilidad por incidentes.</w:t>
      </w:r>
    </w:p>
    <w:p>
      <w:pPr>
        <w:pStyle w:val="ListNumber"/>
      </w:pPr>
      <w:r>
        <w:rPr>
          <w:rFonts w:ascii="Calibri" w:hAnsi="Calibri"/>
          <w:b/>
          <w:color w:val="17365D"/>
        </w:rPr>
        <w:t>4. Ejecutar pruebas técnica, promocional y visual — 30 días</w:t>
      </w:r>
      <w:r>
        <w:rPr>
          <w:rFonts w:ascii="Calibri" w:hAnsi="Calibri"/>
          <w:color w:val="1F2937"/>
        </w:rPr>
        <w:t>. Probar 50 a 100 SKU y dos canales. Construir demos en Tiendanube Evolución y Shopify; ejecutar el recorrido B2C y el 4x3 solo en 6 cuotas hasta el pedido final.</w:t>
      </w:r>
    </w:p>
    <w:p>
      <w:pPr>
        <w:pStyle w:val="ListNumber"/>
        <w:keepLines/>
      </w:pPr>
      <w:r>
        <w:rPr>
          <w:rFonts w:ascii="Calibri" w:hAnsi="Calibri"/>
          <w:b/>
          <w:color w:val="17365D"/>
        </w:rPr>
        <w:t>5. Armar business case — 1 semana</w:t>
      </w:r>
      <w:r>
        <w:rPr>
          <w:rFonts w:ascii="Calibri" w:hAnsi="Calibri"/>
          <w:color w:val="1F2937"/>
        </w:rPr>
        <w:t>. Comparar TCO a 24 meses, ahorro, repago, riesgos, horas del equipo, brechas y costo de transición.</w:t>
      </w:r>
    </w:p>
    <w:p>
      <w:pPr>
        <w:pStyle w:val="ListNumber"/>
        <w:keepLines/>
      </w:pPr>
      <w:r>
        <w:rPr>
          <w:rFonts w:ascii="Calibri" w:hAnsi="Calibri"/>
          <w:b/>
          <w:color w:val="17365D"/>
        </w:rPr>
        <w:t>6. Decidir y, si corresponde, migrar — 6 a 12 semanas</w:t>
      </w:r>
      <w:r>
        <w:rPr>
          <w:rFonts w:ascii="Calibri" w:hAnsi="Calibri"/>
          <w:color w:val="1F2937"/>
        </w:rPr>
        <w:t>. Migración por oleadas, QA, redirecciones SEO, capacitación, observabilidad, doble operación acotada y rollback.</w:t>
      </w:r>
    </w:p>
    <w:p>
      <w:pPr>
        <w:pStyle w:val="Heading2"/>
        <w:keepNext/>
        <w:keepLines/>
      </w:pPr>
      <w:r>
        <w:t>Criterios propuestos de aceptación del piloto</w:t>
      </w:r>
    </w:p>
    <w:tbl>
      <w:tblPr>
        <w:tblStyle w:val="TableGrid"/>
        <w:tblW w:type="dxa" w:w="9360"/>
        <w:jc w:val="left"/>
        <w:tblLayout w:type="fixed"/>
        <w:tblLook w:firstColumn="1" w:firstRow="1" w:lastColumn="0" w:lastRow="0" w:noHBand="0" w:noVBand="1" w:val="04A0"/>
        <w:tblInd w:type="dxa" w:w="120"/>
      </w:tblPr>
      <w:tblGrid>
        <w:gridCol w:w="2100"/>
        <w:gridCol w:w="7260"/>
      </w:tblGrid>
      <w:tr>
        <w:trPr>
          <w:tblHeader w:val="true"/>
        </w:trPr>
        <w:tc>
          <w:tcPr>
            <w:tcW w:type="dxa" w:w="2100"/>
            <w:shd w:fill="17365D"/>
            <w:vAlign w:val="center"/>
            <w:tcMar>
              <w:top w:w="90" w:type="dxa"/>
              <w:bottom w:w="90" w:type="dxa"/>
              <w:start w:w="120" w:type="dxa"/>
              <w:end w:w="120" w:type="dxa"/>
            </w:tcMar>
          </w:tcPr>
          <w:p>
            <w:pPr>
              <w:spacing w:after="0"/>
              <w:jc w:val="left"/>
            </w:pPr>
            <w:r>
              <w:rPr>
                <w:rFonts w:ascii="Calibri" w:hAnsi="Calibri"/>
                <w:b/>
                <w:color w:val="FFFFFF"/>
                <w:sz w:val="17"/>
              </w:rPr>
              <w:t>Métrica</w:t>
            </w:r>
          </w:p>
        </w:tc>
        <w:tc>
          <w:tcPr>
            <w:tcW w:type="dxa" w:w="7260"/>
            <w:shd w:fill="17365D"/>
            <w:vAlign w:val="center"/>
            <w:tcMar>
              <w:top w:w="90" w:type="dxa"/>
              <w:bottom w:w="90" w:type="dxa"/>
              <w:start w:w="120" w:type="dxa"/>
              <w:end w:w="120" w:type="dxa"/>
            </w:tcMar>
          </w:tcPr>
          <w:p>
            <w:pPr>
              <w:spacing w:after="0"/>
              <w:jc w:val="left"/>
            </w:pPr>
            <w:r>
              <w:rPr>
                <w:rFonts w:ascii="Calibri" w:hAnsi="Calibri"/>
                <w:b/>
                <w:color w:val="FFFFFF"/>
                <w:sz w:val="17"/>
              </w:rPr>
              <w:t>Condición de aprobación</w:t>
            </w:r>
          </w:p>
        </w:tc>
      </w:tr>
      <w:tr>
        <w:trPr/>
        <w:tc>
          <w:tcPr>
            <w:tcW w:type="dxa" w:w="2100"/>
            <w:vAlign w:val="center"/>
            <w:tcMar>
              <w:top w:w="90" w:type="dxa"/>
              <w:bottom w:w="90" w:type="dxa"/>
              <w:start w:w="120" w:type="dxa"/>
              <w:end w:w="120" w:type="dxa"/>
            </w:tcMar>
          </w:tcPr>
          <w:p>
            <w:pPr>
              <w:spacing w:after="0" w:line="247" w:lineRule="auto"/>
            </w:pPr>
            <w:r>
              <w:rPr>
                <w:rFonts w:ascii="Calibri" w:hAnsi="Calibri"/>
                <w:b/>
                <w:color w:val="1F2937"/>
                <w:sz w:val="17"/>
              </w:rPr>
              <w:t>Stock</w:t>
            </w:r>
          </w:p>
        </w:tc>
        <w:tc>
          <w:tcPr>
            <w:tcW w:type="dxa" w:w="7260"/>
            <w:vAlign w:val="center"/>
            <w:tcMar>
              <w:top w:w="90" w:type="dxa"/>
              <w:bottom w:w="90" w:type="dxa"/>
              <w:start w:w="120" w:type="dxa"/>
              <w:end w:w="120" w:type="dxa"/>
            </w:tcMar>
          </w:tcPr>
          <w:p>
            <w:pPr>
              <w:spacing w:after="0" w:line="247" w:lineRule="auto"/>
            </w:pPr>
            <w:r>
              <w:rPr>
                <w:rFonts w:ascii="Calibri" w:hAnsi="Calibri"/>
                <w:b w:val="0"/>
                <w:color w:val="1F2937"/>
                <w:sz w:val="17"/>
              </w:rPr>
              <w:t>Diferencia &lt;= 0,5% de SKU medidos; cero sobreventas atribuibles al integrador</w:t>
            </w:r>
          </w:p>
        </w:tc>
      </w:tr>
      <w:tr>
        <w:trPr/>
        <w:tc>
          <w:tcPr>
            <w:tcW w:type="dxa" w:w="2100"/>
            <w:vAlign w:val="center"/>
            <w:shd w:fill="F8FAFC"/>
            <w:tcMar>
              <w:top w:w="90" w:type="dxa"/>
              <w:bottom w:w="90" w:type="dxa"/>
              <w:start w:w="120" w:type="dxa"/>
              <w:end w:w="120" w:type="dxa"/>
            </w:tcMar>
          </w:tcPr>
          <w:p>
            <w:pPr>
              <w:spacing w:after="0" w:line="247" w:lineRule="auto"/>
            </w:pPr>
            <w:r>
              <w:rPr>
                <w:rFonts w:ascii="Calibri" w:hAnsi="Calibri"/>
                <w:b/>
                <w:color w:val="1F2937"/>
                <w:sz w:val="17"/>
              </w:rPr>
              <w:t>Precios</w:t>
            </w:r>
          </w:p>
        </w:tc>
        <w:tc>
          <w:tcPr>
            <w:tcW w:type="dxa" w:w="7260"/>
            <w:vAlign w:val="center"/>
            <w:shd w:fill="F8FAFC"/>
            <w:tcMar>
              <w:top w:w="90" w:type="dxa"/>
              <w:bottom w:w="90" w:type="dxa"/>
              <w:start w:w="120" w:type="dxa"/>
              <w:end w:w="120" w:type="dxa"/>
            </w:tcMar>
          </w:tcPr>
          <w:p>
            <w:pPr>
              <w:spacing w:after="0" w:line="247" w:lineRule="auto"/>
            </w:pPr>
            <w:r>
              <w:rPr>
                <w:rFonts w:ascii="Calibri" w:hAnsi="Calibri"/>
                <w:b w:val="0"/>
                <w:color w:val="1F2937"/>
                <w:sz w:val="17"/>
              </w:rPr>
              <w:t>Diferencia &lt;= 0,5%; reglas de markup verificadas por canal</w:t>
            </w:r>
          </w:p>
        </w:tc>
      </w:tr>
      <w:tr>
        <w:trPr/>
        <w:tc>
          <w:tcPr>
            <w:tcW w:type="dxa" w:w="2100"/>
            <w:vAlign w:val="center"/>
            <w:tcMar>
              <w:top w:w="90" w:type="dxa"/>
              <w:bottom w:w="90" w:type="dxa"/>
              <w:start w:w="120" w:type="dxa"/>
              <w:end w:w="120" w:type="dxa"/>
            </w:tcMar>
          </w:tcPr>
          <w:p>
            <w:pPr>
              <w:spacing w:after="0" w:line="247" w:lineRule="auto"/>
            </w:pPr>
            <w:r>
              <w:rPr>
                <w:rFonts w:ascii="Calibri" w:hAnsi="Calibri"/>
                <w:b/>
                <w:color w:val="1F2937"/>
                <w:sz w:val="17"/>
              </w:rPr>
              <w:t>Sincronización</w:t>
            </w:r>
          </w:p>
        </w:tc>
        <w:tc>
          <w:tcPr>
            <w:tcW w:type="dxa" w:w="7260"/>
            <w:vAlign w:val="center"/>
            <w:tcMar>
              <w:top w:w="90" w:type="dxa"/>
              <w:bottom w:w="90" w:type="dxa"/>
              <w:start w:w="120" w:type="dxa"/>
              <w:end w:w="120" w:type="dxa"/>
            </w:tcMar>
          </w:tcPr>
          <w:p>
            <w:pPr>
              <w:spacing w:after="0" w:line="247" w:lineRule="auto"/>
            </w:pPr>
            <w:r>
              <w:rPr>
                <w:rFonts w:ascii="Calibri" w:hAnsi="Calibri"/>
                <w:b w:val="0"/>
                <w:color w:val="1F2937"/>
                <w:sz w:val="17"/>
              </w:rPr>
              <w:t>95% de cambios reflejados en &lt;= 5 minutos o SLA acordado mejor</w:t>
            </w:r>
          </w:p>
        </w:tc>
      </w:tr>
      <w:tr>
        <w:trPr/>
        <w:tc>
          <w:tcPr>
            <w:tcW w:type="dxa" w:w="2100"/>
            <w:vAlign w:val="center"/>
            <w:shd w:fill="F8FAFC"/>
            <w:tcMar>
              <w:top w:w="90" w:type="dxa"/>
              <w:bottom w:w="90" w:type="dxa"/>
              <w:start w:w="120" w:type="dxa"/>
              <w:end w:w="120" w:type="dxa"/>
            </w:tcMar>
          </w:tcPr>
          <w:p>
            <w:pPr>
              <w:spacing w:after="0" w:line="247" w:lineRule="auto"/>
            </w:pPr>
            <w:r>
              <w:rPr>
                <w:rFonts w:ascii="Calibri" w:hAnsi="Calibri"/>
                <w:b/>
                <w:color w:val="1F2937"/>
                <w:sz w:val="17"/>
              </w:rPr>
              <w:t>Pedidos</w:t>
            </w:r>
          </w:p>
        </w:tc>
        <w:tc>
          <w:tcPr>
            <w:tcW w:type="dxa" w:w="7260"/>
            <w:vAlign w:val="center"/>
            <w:shd w:fill="F8FAFC"/>
            <w:tcMar>
              <w:top w:w="90" w:type="dxa"/>
              <w:bottom w:w="90" w:type="dxa"/>
              <w:start w:w="120" w:type="dxa"/>
              <w:end w:w="120" w:type="dxa"/>
            </w:tcMar>
          </w:tcPr>
          <w:p>
            <w:pPr>
              <w:spacing w:after="0" w:line="247" w:lineRule="auto"/>
            </w:pPr>
            <w:r>
              <w:rPr>
                <w:rFonts w:ascii="Calibri" w:hAnsi="Calibri"/>
                <w:b w:val="0"/>
                <w:color w:val="1F2937"/>
                <w:sz w:val="17"/>
              </w:rPr>
              <w:t>100% importados una sola vez, con estados y datos necesarios</w:t>
            </w:r>
          </w:p>
        </w:tc>
      </w:tr>
      <w:tr>
        <w:trPr/>
        <w:tc>
          <w:tcPr>
            <w:tcW w:type="dxa" w:w="2100"/>
            <w:vAlign w:val="center"/>
            <w:tcMar>
              <w:top w:w="90" w:type="dxa"/>
              <w:bottom w:w="90" w:type="dxa"/>
              <w:start w:w="120" w:type="dxa"/>
              <w:end w:w="120" w:type="dxa"/>
            </w:tcMar>
          </w:tcPr>
          <w:p>
            <w:pPr>
              <w:spacing w:after="0" w:line="247" w:lineRule="auto"/>
            </w:pPr>
            <w:r>
              <w:rPr>
                <w:rFonts w:ascii="Calibri" w:hAnsi="Calibri"/>
                <w:b/>
                <w:color w:val="1F2937"/>
                <w:sz w:val="17"/>
              </w:rPr>
              <w:t>Catálogo</w:t>
            </w:r>
          </w:p>
        </w:tc>
        <w:tc>
          <w:tcPr>
            <w:tcW w:type="dxa" w:w="7260"/>
            <w:vAlign w:val="center"/>
            <w:tcMar>
              <w:top w:w="90" w:type="dxa"/>
              <w:bottom w:w="90" w:type="dxa"/>
              <w:start w:w="120" w:type="dxa"/>
              <w:end w:w="120" w:type="dxa"/>
            </w:tcMar>
          </w:tcPr>
          <w:p>
            <w:pPr>
              <w:spacing w:after="0" w:line="247" w:lineRule="auto"/>
            </w:pPr>
            <w:r>
              <w:rPr>
                <w:rFonts w:ascii="Calibri" w:hAnsi="Calibri"/>
                <w:b w:val="0"/>
                <w:color w:val="1F2937"/>
                <w:sz w:val="17"/>
              </w:rPr>
              <w:t>100% de campos críticos, imágenes, variantes y kits validados en la muestra</w:t>
            </w:r>
          </w:p>
        </w:tc>
      </w:tr>
      <w:tr>
        <w:trPr/>
        <w:tc>
          <w:tcPr>
            <w:tcW w:type="dxa" w:w="2100"/>
            <w:vAlign w:val="center"/>
            <w:shd w:fill="F8FAFC"/>
            <w:tcMar>
              <w:top w:w="90" w:type="dxa"/>
              <w:bottom w:w="90" w:type="dxa"/>
              <w:start w:w="120" w:type="dxa"/>
              <w:end w:w="120" w:type="dxa"/>
            </w:tcMar>
          </w:tcPr>
          <w:p>
            <w:pPr>
              <w:spacing w:after="0" w:line="247" w:lineRule="auto"/>
            </w:pPr>
            <w:r>
              <w:rPr>
                <w:rFonts w:ascii="Calibri" w:hAnsi="Calibri"/>
                <w:b/>
                <w:color w:val="1F2937"/>
                <w:sz w:val="17"/>
              </w:rPr>
              <w:t>Operación</w:t>
            </w:r>
          </w:p>
        </w:tc>
        <w:tc>
          <w:tcPr>
            <w:tcW w:type="dxa" w:w="7260"/>
            <w:vAlign w:val="center"/>
            <w:shd w:fill="F8FAFC"/>
            <w:tcMar>
              <w:top w:w="90" w:type="dxa"/>
              <w:bottom w:w="90" w:type="dxa"/>
              <w:start w:w="120" w:type="dxa"/>
              <w:end w:w="120" w:type="dxa"/>
            </w:tcMar>
          </w:tcPr>
          <w:p>
            <w:pPr>
              <w:spacing w:after="0" w:line="247" w:lineRule="auto"/>
            </w:pPr>
            <w:r>
              <w:rPr>
                <w:rFonts w:ascii="Calibri" w:hAnsi="Calibri"/>
                <w:b w:val="0"/>
                <w:color w:val="1F2937"/>
                <w:sz w:val="17"/>
              </w:rPr>
              <w:t>Reducción demostrable de tareas manuales y trazabilidad de errores</w:t>
            </w:r>
          </w:p>
        </w:tc>
      </w:tr>
      <w:tr>
        <w:trPr/>
        <w:tc>
          <w:tcPr>
            <w:tcW w:type="dxa" w:w="2100"/>
            <w:vAlign w:val="center"/>
            <w:tcMar>
              <w:top w:w="90" w:type="dxa"/>
              <w:bottom w:w="90" w:type="dxa"/>
              <w:start w:w="120" w:type="dxa"/>
              <w:end w:w="120" w:type="dxa"/>
            </w:tcMar>
          </w:tcPr>
          <w:p>
            <w:pPr>
              <w:spacing w:after="0" w:line="247" w:lineRule="auto"/>
            </w:pPr>
            <w:r>
              <w:rPr>
                <w:rFonts w:ascii="Calibri" w:hAnsi="Calibri"/>
                <w:b/>
                <w:color w:val="1F2937"/>
                <w:sz w:val="17"/>
              </w:rPr>
              <w:t>Promociones</w:t>
            </w:r>
          </w:p>
        </w:tc>
        <w:tc>
          <w:tcPr>
            <w:tcW w:type="dxa" w:w="7260"/>
            <w:vAlign w:val="center"/>
            <w:tcMar>
              <w:top w:w="90" w:type="dxa"/>
              <w:bottom w:w="90" w:type="dxa"/>
              <w:start w:w="120" w:type="dxa"/>
              <w:end w:w="120" w:type="dxa"/>
            </w:tcMar>
          </w:tcPr>
          <w:p>
            <w:pPr>
              <w:spacing w:after="0" w:line="247" w:lineRule="auto"/>
            </w:pPr>
            <w:r>
              <w:rPr>
                <w:rFonts w:ascii="Calibri" w:hAnsi="Calibri"/>
                <w:b w:val="0"/>
                <w:color w:val="1F2937"/>
                <w:sz w:val="17"/>
              </w:rPr>
              <w:t>4x3 se aplica únicamente con 6 cuotas; otras financiaciones quedan excluidas y el pedido conserva la condición</w:t>
            </w:r>
          </w:p>
        </w:tc>
      </w:tr>
      <w:tr>
        <w:trPr/>
        <w:tc>
          <w:tcPr>
            <w:tcW w:type="dxa" w:w="2100"/>
            <w:vAlign w:val="center"/>
            <w:shd w:fill="F8FAFC"/>
            <w:tcMar>
              <w:top w:w="90" w:type="dxa"/>
              <w:bottom w:w="90" w:type="dxa"/>
              <w:start w:w="120" w:type="dxa"/>
              <w:end w:w="120" w:type="dxa"/>
            </w:tcMar>
          </w:tcPr>
          <w:p>
            <w:pPr>
              <w:spacing w:after="0" w:line="247" w:lineRule="auto"/>
            </w:pPr>
            <w:r>
              <w:rPr>
                <w:rFonts w:ascii="Calibri" w:hAnsi="Calibri"/>
                <w:b/>
                <w:color w:val="1F2937"/>
                <w:sz w:val="17"/>
              </w:rPr>
              <w:t>Dotación</w:t>
            </w:r>
          </w:p>
        </w:tc>
        <w:tc>
          <w:tcPr>
            <w:tcW w:type="dxa" w:w="7260"/>
            <w:vAlign w:val="center"/>
            <w:shd w:fill="F8FAFC"/>
            <w:tcMar>
              <w:top w:w="90" w:type="dxa"/>
              <w:bottom w:w="90" w:type="dxa"/>
              <w:start w:w="120" w:type="dxa"/>
              <w:end w:w="120" w:type="dxa"/>
            </w:tcMar>
          </w:tcPr>
          <w:p>
            <w:pPr>
              <w:spacing w:after="0" w:line="247" w:lineRule="auto"/>
            </w:pPr>
            <w:r>
              <w:rPr>
                <w:rFonts w:ascii="Calibri" w:hAnsi="Calibri"/>
                <w:b w:val="0"/>
                <w:color w:val="1F2937"/>
                <w:sz w:val="17"/>
              </w:rPr>
              <w:t>Una persona puede crear, pausar, verificar y auditar la promo y la operación rutinaria con un procedimiento claro</w:t>
            </w:r>
          </w:p>
        </w:tc>
      </w:tr>
      <w:tr>
        <w:trPr/>
        <w:tc>
          <w:tcPr>
            <w:tcW w:type="dxa" w:w="2100"/>
            <w:vAlign w:val="center"/>
            <w:tcMar>
              <w:top w:w="90" w:type="dxa"/>
              <w:bottom w:w="90" w:type="dxa"/>
              <w:start w:w="120" w:type="dxa"/>
              <w:end w:w="120" w:type="dxa"/>
            </w:tcMar>
          </w:tcPr>
          <w:p>
            <w:pPr>
              <w:spacing w:after="0" w:line="247" w:lineRule="auto"/>
            </w:pPr>
            <w:r>
              <w:rPr>
                <w:rFonts w:ascii="Calibri" w:hAnsi="Calibri"/>
                <w:b/>
                <w:color w:val="1F2937"/>
                <w:sz w:val="17"/>
              </w:rPr>
              <w:t>Soporte</w:t>
            </w:r>
          </w:p>
        </w:tc>
        <w:tc>
          <w:tcPr>
            <w:tcW w:type="dxa" w:w="7260"/>
            <w:vAlign w:val="center"/>
            <w:tcMar>
              <w:top w:w="90" w:type="dxa"/>
              <w:bottom w:w="90" w:type="dxa"/>
              <w:start w:w="120" w:type="dxa"/>
              <w:end w:w="120" w:type="dxa"/>
            </w:tcMar>
          </w:tcPr>
          <w:p>
            <w:pPr>
              <w:spacing w:after="0" w:line="247" w:lineRule="auto"/>
            </w:pPr>
            <w:r>
              <w:rPr>
                <w:rFonts w:ascii="Calibri" w:hAnsi="Calibri"/>
                <w:b w:val="0"/>
                <w:color w:val="1F2937"/>
                <w:sz w:val="17"/>
              </w:rPr>
              <w:t>Escalamiento probado, tiempos de respuesta y dueño de punta a punta definidos</w:t>
            </w:r>
          </w:p>
        </w:tc>
      </w:tr>
      <w:tr>
        <w:trPr/>
        <w:tc>
          <w:tcPr>
            <w:tcW w:type="dxa" w:w="2100"/>
            <w:vAlign w:val="center"/>
            <w:shd w:fill="F8FAFC"/>
            <w:tcMar>
              <w:top w:w="90" w:type="dxa"/>
              <w:bottom w:w="90" w:type="dxa"/>
              <w:start w:w="120" w:type="dxa"/>
              <w:end w:w="120" w:type="dxa"/>
            </w:tcMar>
          </w:tcPr>
          <w:p>
            <w:pPr>
              <w:spacing w:after="0" w:line="247" w:lineRule="auto"/>
            </w:pPr>
            <w:r>
              <w:rPr>
                <w:rFonts w:ascii="Calibri" w:hAnsi="Calibri"/>
                <w:b/>
                <w:color w:val="1F2937"/>
                <w:sz w:val="17"/>
              </w:rPr>
              <w:t>Diseño custom</w:t>
            </w:r>
          </w:p>
        </w:tc>
        <w:tc>
          <w:tcPr>
            <w:tcW w:type="dxa" w:w="7260"/>
            <w:vAlign w:val="center"/>
            <w:shd w:fill="F8FAFC"/>
            <w:tcMar>
              <w:top w:w="90" w:type="dxa"/>
              <w:bottom w:w="90" w:type="dxa"/>
              <w:start w:w="120" w:type="dxa"/>
              <w:end w:w="120" w:type="dxa"/>
            </w:tcMar>
          </w:tcPr>
          <w:p>
            <w:pPr>
              <w:spacing w:after="0" w:line="247" w:lineRule="auto"/>
            </w:pPr>
            <w:r>
              <w:rPr>
                <w:rFonts w:ascii="Calibri" w:hAnsi="Calibri"/>
                <w:b w:val="0"/>
                <w:color w:val="1F2937"/>
                <w:sz w:val="17"/>
              </w:rPr>
              <w:t>Demos Tiendanube Evolución y Shopify: Home, PLP, PDP, cuotas, carrito y móvil igualan o mejoran la identidad actual</w:t>
            </w:r>
          </w:p>
        </w:tc>
      </w:tr>
      <w:tr>
        <w:trPr/>
        <w:tc>
          <w:tcPr>
            <w:tcW w:type="dxa" w:w="2100"/>
            <w:vAlign w:val="center"/>
            <w:tcMar>
              <w:top w:w="90" w:type="dxa"/>
              <w:bottom w:w="90" w:type="dxa"/>
              <w:start w:w="120" w:type="dxa"/>
              <w:end w:w="120" w:type="dxa"/>
            </w:tcMar>
          </w:tcPr>
          <w:p>
            <w:pPr>
              <w:spacing w:after="0" w:line="247" w:lineRule="auto"/>
            </w:pPr>
            <w:r>
              <w:rPr>
                <w:rFonts w:ascii="Calibri" w:hAnsi="Calibri"/>
                <w:b/>
                <w:color w:val="1F2937"/>
                <w:sz w:val="17"/>
              </w:rPr>
              <w:t>Conversión</w:t>
            </w:r>
          </w:p>
        </w:tc>
        <w:tc>
          <w:tcPr>
            <w:tcW w:type="dxa" w:w="7260"/>
            <w:vAlign w:val="center"/>
            <w:tcMar>
              <w:top w:w="90" w:type="dxa"/>
              <w:bottom w:w="90" w:type="dxa"/>
              <w:start w:w="120" w:type="dxa"/>
              <w:end w:w="120" w:type="dxa"/>
            </w:tcMar>
          </w:tcPr>
          <w:p>
            <w:pPr>
              <w:spacing w:after="0" w:line="247" w:lineRule="auto"/>
            </w:pPr>
            <w:r>
              <w:rPr>
                <w:rFonts w:ascii="Calibri" w:hAnsi="Calibri"/>
                <w:b w:val="0"/>
                <w:color w:val="1F2937"/>
                <w:sz w:val="17"/>
              </w:rPr>
              <w:t>No aparecen fricciones nuevas en búsqueda, selección por medida, compra, pagos o envío</w:t>
            </w:r>
          </w:p>
        </w:tc>
      </w:tr>
      <w:tr>
        <w:trPr/>
        <w:tc>
          <w:tcPr>
            <w:tcW w:type="dxa" w:w="2100"/>
            <w:vAlign w:val="center"/>
            <w:shd w:fill="F8FAFC"/>
            <w:tcMar>
              <w:top w:w="90" w:type="dxa"/>
              <w:bottom w:w="90" w:type="dxa"/>
              <w:start w:w="120" w:type="dxa"/>
              <w:end w:w="120" w:type="dxa"/>
            </w:tcMar>
          </w:tcPr>
          <w:p>
            <w:pPr>
              <w:spacing w:after="0" w:line="247" w:lineRule="auto"/>
            </w:pPr>
            <w:r>
              <w:rPr>
                <w:rFonts w:ascii="Calibri" w:hAnsi="Calibri"/>
                <w:b/>
                <w:color w:val="1F2937"/>
                <w:sz w:val="17"/>
              </w:rPr>
              <w:t>Recorrido B2C</w:t>
            </w:r>
          </w:p>
        </w:tc>
        <w:tc>
          <w:tcPr>
            <w:tcW w:type="dxa" w:w="7260"/>
            <w:vAlign w:val="center"/>
            <w:shd w:fill="F8FAFC"/>
            <w:tcMar>
              <w:top w:w="90" w:type="dxa"/>
              <w:bottom w:w="90" w:type="dxa"/>
              <w:start w:w="120" w:type="dxa"/>
              <w:end w:w="120" w:type="dxa"/>
            </w:tcMar>
          </w:tcPr>
          <w:p>
            <w:pPr>
              <w:spacing w:after="0" w:line="247" w:lineRule="auto"/>
            </w:pPr>
            <w:r>
              <w:rPr>
                <w:rFonts w:ascii="Calibri" w:hAnsi="Calibri"/>
                <w:b w:val="0"/>
                <w:color w:val="1F2937"/>
                <w:sz w:val="17"/>
              </w:rPr>
              <w:t>Un consumidor puede encontrar su medida, entender cuotas/promoción y comprar desde móvil sin asistencia</w:t>
            </w:r>
          </w:p>
        </w:tc>
      </w:tr>
    </w:tbl>
    <w:p>
      <w:pPr>
        <w:keepLines/>
        <w:spacing w:after="40"/>
      </w:pPr>
    </w:p>
    <w:p>
      <w:pPr>
        <w:keepLines/>
        <w:spacing w:before="80" w:after="80"/>
      </w:pPr>
      <w:r>
        <w:rPr>
          <w:rFonts w:ascii="Calibri" w:hAnsi="Calibri"/>
          <w:i/>
          <w:color w:val="5B6573"/>
          <w:sz w:val="16"/>
        </w:rPr>
        <w:t>Los umbrales son criterios de aceptación propuestos para Saracho, no compromisos publicados de los proveedores.</w:t>
      </w:r>
    </w:p>
    <w:p>
      <w:pPr>
        <w:pStyle w:val="Heading2"/>
        <w:keepNext/>
        <w:keepLines/>
      </w:pPr>
      <w:r>
        <w:t>Regla de decisión</w:t>
      </w:r>
    </w:p>
    <w:tbl>
      <w:tblPr>
        <w:tblW w:type="dxa" w:w="9360"/>
        <w:jc w:val="left"/>
        <w:tblLayout w:type="fixed"/>
        <w:tblLook w:firstColumn="1" w:firstRow="1" w:lastColumn="0" w:lastRow="0" w:noHBand="0" w:noVBand="1" w:val="04A0"/>
        <w:tblInd w:type="dxa" w:w="180"/>
      </w:tblPr>
      <w:tblGrid>
        <w:gridCol w:w="9360"/>
      </w:tblGrid>
      <w:tr>
        <w:trPr>
          <w:tblHeader w:val="true"/>
        </w:trPr>
        <w:tc>
          <w:tcPr>
            <w:tcW w:type="dxa" w:w="9360"/>
            <w:shd w:fill="EAF5EC"/>
            <w:tcBorders>
              <w:top w:val="nil"/>
              <w:left w:val="single" w:sz="26" w:space="0" w:color="2E7D32"/>
              <w:bottom w:val="nil"/>
              <w:right w:val="nil"/>
            </w:tcBorders>
            <w:tcMar>
              <w:top w:w="130" w:type="dxa"/>
              <w:bottom w:w="130" w:type="dxa"/>
              <w:start w:w="180" w:type="dxa"/>
              <w:end w:w="180" w:type="dxa"/>
            </w:tcMar>
          </w:tcPr>
          <w:p>
            <w:pPr>
              <w:spacing w:after="40"/>
            </w:pPr>
            <w:r>
              <w:rPr>
                <w:rFonts w:ascii="Calibri" w:hAnsi="Calibri"/>
                <w:b/>
                <w:color w:val="2E7D32"/>
                <w:sz w:val="18"/>
              </w:rPr>
              <w:t>RECOMENDACIÓN FINAL</w:t>
            </w:r>
          </w:p>
          <w:p>
            <w:pPr>
              <w:spacing w:after="20" w:line="259" w:lineRule="auto"/>
            </w:pPr>
            <w:r>
              <w:rPr>
                <w:rFonts w:ascii="Calibri" w:hAnsi="Calibri"/>
                <w:b/>
                <w:color w:val="1F2937"/>
                <w:sz w:val="21"/>
              </w:rPr>
              <w:t>Para este negocio B2C, comparar VTEX + Producteca, Tiendanube Evolución + Astroselling y Shopify + Astroselling. Elegir la que reduzca materialmente el costo mensual, permita operar el 4x3 solo en 6 cuotas, sea manejable con poca dotación y maximice conversión móvil. Evolución debe evaluarse con cotización real; VTEX + Astroselling queda fuera del caso base.</w:t>
            </w:r>
          </w:p>
        </w:tc>
      </w:tr>
    </w:tbl>
    <w:p>
      <w:pPr>
        <w:keepLines/>
        <w:spacing w:after="20"/>
      </w:pPr>
    </w:p>
    <w:p>
      <w:pPr>
        <w:pStyle w:val="Heading1"/>
        <w:keepNext/>
        <w:keepLines/>
      </w:pPr>
      <w:r>
        <w:t>8. Preguntas que deben responder los proveedores</w:t>
      </w:r>
    </w:p>
    <w:p>
      <w:pPr>
        <w:pStyle w:val="Heading2"/>
        <w:keepNext/>
        <w:keepLines/>
      </w:pPr>
      <w:r>
        <w:t>Astroselling</w:t>
      </w:r>
    </w:p>
    <w:p>
      <w:pPr>
        <w:pStyle w:val="ListBullet"/>
        <w:keepLines/>
        <w:ind w:left="720" w:hanging="360"/>
      </w:pPr>
      <w:r>
        <w:rPr>
          <w:rFonts w:ascii="Calibri" w:hAnsi="Calibri"/>
          <w:color w:val="1F2937"/>
        </w:rPr>
        <w:t>Para el caso hipotético VTEX: ¿pueden formalizar la disposición conversada, con alcance, precio, cronograma, mantenimiento y responsables?</w:t>
      </w:r>
    </w:p>
    <w:p>
      <w:pPr>
        <w:pStyle w:val="ListBullet"/>
        <w:keepLines/>
        <w:ind w:left="720" w:hanging="360"/>
      </w:pPr>
      <w:r>
        <w:rPr>
          <w:rFonts w:ascii="Calibri" w:hAnsi="Calibri"/>
          <w:color w:val="1F2937"/>
        </w:rPr>
        <w:t>Para Tiendanube Evolución y Shopify: ¿qué alcance productivo estándar está soportado y qué operaciones/referencias pueden demostrar?</w:t>
      </w:r>
    </w:p>
    <w:p>
      <w:pPr>
        <w:pStyle w:val="ListBullet"/>
        <w:keepLines/>
        <w:ind w:left="720" w:hanging="360"/>
      </w:pPr>
      <w:r>
        <w:rPr>
          <w:rFonts w:ascii="Calibri" w:hAnsi="Calibri"/>
          <w:color w:val="1F2937"/>
        </w:rPr>
        <w:t>¿Sincroniza en ambos sentidos catálogo, variantes, atributos, imágenes, precio, promociones, stock y pedidos?</w:t>
      </w:r>
    </w:p>
    <w:p>
      <w:pPr>
        <w:pStyle w:val="ListBullet"/>
        <w:keepLines/>
        <w:ind w:left="720" w:hanging="360"/>
      </w:pPr>
      <w:r>
        <w:rPr>
          <w:rFonts w:ascii="Calibri" w:hAnsi="Calibri"/>
          <w:color w:val="1F2937"/>
        </w:rPr>
        <w:t>¿La API está incluida o tiene costo de configuración? ¿Quién mantiene el conector ante cambios de VTEX?</w:t>
      </w:r>
    </w:p>
    <w:p>
      <w:pPr>
        <w:pStyle w:val="ListBullet"/>
        <w:keepLines/>
        <w:ind w:left="720" w:hanging="360"/>
      </w:pPr>
      <w:r>
        <w:rPr>
          <w:rFonts w:ascii="Calibri" w:hAnsi="Calibri"/>
          <w:color w:val="1F2937"/>
        </w:rPr>
        <w:t>¿Qué SLA, monitoreo, reintentos, historial, alertas y soporte ofrece para Argentina?</w:t>
      </w:r>
    </w:p>
    <w:p>
      <w:pPr>
        <w:pStyle w:val="ListBullet"/>
        <w:keepLines/>
        <w:ind w:left="720" w:hanging="360"/>
      </w:pPr>
      <w:r>
        <w:rPr>
          <w:rFonts w:ascii="Calibri" w:hAnsi="Calibri"/>
          <w:color w:val="1F2937"/>
        </w:rPr>
        <w:t>¿Cómo maneja combos/kits, múltiples depósitos y reglas de markup/stock por canal?</w:t>
      </w:r>
    </w:p>
    <w:p>
      <w:pPr>
        <w:pStyle w:val="Heading2"/>
        <w:keepNext/>
        <w:keepLines/>
      </w:pPr>
      <w:r>
        <w:t>Tiendanube Evolución</w:t>
      </w:r>
    </w:p>
    <w:p>
      <w:pPr>
        <w:pStyle w:val="ListBullet"/>
        <w:keepLines/>
        <w:ind w:left="720" w:hanging="360"/>
      </w:pPr>
      <w:r>
        <w:rPr>
          <w:rFonts w:ascii="Calibri" w:hAnsi="Calibri"/>
          <w:color w:val="1F2937"/>
        </w:rPr>
        <w:t>¿Cuál es la cotización Evolución completa para Saracho y qué incluye en fee, transacciones, Pago Nube, migración, soporte, apps y desarrollo?</w:t>
      </w:r>
    </w:p>
    <w:p>
      <w:pPr>
        <w:pStyle w:val="ListBullet"/>
        <w:keepLines/>
        <w:ind w:left="720" w:hanging="360"/>
      </w:pPr>
      <w:r>
        <w:rPr>
          <w:rFonts w:ascii="Calibri" w:hAnsi="Calibri"/>
          <w:color w:val="1F2937"/>
        </w:rPr>
        <w:t>¿Cómo se optimiza el recorrido B2C móvil: búsqueda por medida, PDP, cuotas, promoción, checkout, pago y envío?</w:t>
      </w:r>
    </w:p>
    <w:p>
      <w:pPr>
        <w:pStyle w:val="ListBullet"/>
        <w:keepLines/>
        <w:ind w:left="720" w:hanging="360"/>
      </w:pPr>
      <w:r>
        <w:rPr>
          <w:rFonts w:ascii="Calibri" w:hAnsi="Calibri"/>
          <w:color w:val="1F2937"/>
        </w:rPr>
        <w:t>¿Cómo se reemplaza la app de cuotas/promociones construida en VTEX IO?</w:t>
      </w:r>
    </w:p>
    <w:p>
      <w:pPr>
        <w:pStyle w:val="ListBullet"/>
        <w:keepLines/>
        <w:ind w:left="720" w:hanging="360"/>
      </w:pPr>
      <w:r>
        <w:rPr>
          <w:rFonts w:ascii="Calibri" w:hAnsi="Calibri"/>
          <w:color w:val="1F2937"/>
        </w:rPr>
        <w:t>¿Cómo se implementa un 4x3 que sea válido únicamente con 6 cuotas y se excluya con cualquier otra financiación?</w:t>
      </w:r>
    </w:p>
    <w:p>
      <w:pPr>
        <w:pStyle w:val="ListBullet"/>
        <w:keepLines/>
        <w:ind w:left="720" w:hanging="360"/>
      </w:pPr>
      <w:r>
        <w:rPr>
          <w:rFonts w:ascii="Calibri" w:hAnsi="Calibri"/>
          <w:color w:val="1F2937"/>
        </w:rPr>
        <w:t>¿Qué límites de API, aplicaciones a medida, exportaciones, redirecciones y migración de clientes aplican?</w:t>
      </w:r>
    </w:p>
    <w:p>
      <w:pPr>
        <w:pStyle w:val="ListBullet"/>
        <w:keepLines/>
        <w:ind w:left="720" w:hanging="360"/>
      </w:pPr>
      <w:r>
        <w:rPr>
          <w:rFonts w:ascii="Calibri" w:hAnsi="Calibri"/>
          <w:color w:val="1F2937"/>
        </w:rPr>
        <w:t>¿Cuál es el costo efectivo de Evolución con el medio de pago elegido y el GMV real?</w:t>
      </w:r>
    </w:p>
    <w:p>
      <w:pPr>
        <w:pStyle w:val="ListBullet"/>
        <w:keepLines/>
        <w:ind w:left="720" w:hanging="360"/>
      </w:pPr>
      <w:r>
        <w:rPr>
          <w:rFonts w:ascii="Calibri" w:hAnsi="Calibri"/>
          <w:color w:val="1F2937"/>
        </w:rPr>
        <w:t>¿Qué acceso y límites existen para un desarrollo visual custom que replique o mejore Home, PLP, PDP, cuotas, carrito y experiencia móvil de VTEX?</w:t>
      </w:r>
    </w:p>
    <w:p>
      <w:pPr>
        <w:pStyle w:val="Heading2"/>
        <w:keepNext/>
        <w:keepLines/>
      </w:pPr>
      <w:r>
        <w:t>Shopify</w:t>
      </w:r>
    </w:p>
    <w:p>
      <w:pPr>
        <w:pStyle w:val="ListBullet"/>
        <w:keepLines/>
        <w:ind w:left="720" w:hanging="360"/>
      </w:pPr>
      <w:r>
        <w:rPr>
          <w:rFonts w:ascii="Calibri" w:hAnsi="Calibri"/>
          <w:color w:val="1F2937"/>
        </w:rPr>
        <w:t>¿Qué plan, gateway argentino, tema y aplicaciones forman el costo total para Saracho?</w:t>
      </w:r>
    </w:p>
    <w:p>
      <w:pPr>
        <w:pStyle w:val="ListBullet"/>
        <w:keepLines/>
        <w:ind w:left="720" w:hanging="360"/>
      </w:pPr>
      <w:r>
        <w:rPr>
          <w:rFonts w:ascii="Calibri" w:hAnsi="Calibri"/>
          <w:color w:val="1F2937"/>
        </w:rPr>
        <w:t>¿Cómo se implementa el 4x3 válido únicamente con 6 cuotas: app existente, Shopify Functions o desarrollo a medida?</w:t>
      </w:r>
    </w:p>
    <w:p>
      <w:pPr>
        <w:pStyle w:val="ListBullet"/>
        <w:keepLines/>
        <w:ind w:left="720" w:hanging="360"/>
      </w:pPr>
      <w:r>
        <w:rPr>
          <w:rFonts w:ascii="Calibri" w:hAnsi="Calibri"/>
          <w:color w:val="1F2937"/>
        </w:rPr>
        <w:t>¿Qué parte del checkout puede personalizarse en el plan propuesto y qué requeriría Shopify Plus?</w:t>
      </w:r>
    </w:p>
    <w:p>
      <w:pPr>
        <w:pStyle w:val="ListBullet"/>
        <w:keepLines/>
        <w:ind w:left="720" w:hanging="360"/>
      </w:pPr>
      <w:r>
        <w:rPr>
          <w:rFonts w:ascii="Calibri" w:hAnsi="Calibri"/>
          <w:color w:val="1F2937"/>
        </w:rPr>
        <w:t>¿Cómo se integra Astroselling para catálogo, stock, precios y pedidos, y qué soporte cubre cada proveedor?</w:t>
      </w:r>
    </w:p>
    <w:p>
      <w:pPr>
        <w:pStyle w:val="ListBullet"/>
        <w:keepLines/>
        <w:ind w:left="720" w:hanging="360"/>
      </w:pPr>
      <w:r>
        <w:rPr>
          <w:rFonts w:ascii="Calibri" w:hAnsi="Calibri"/>
          <w:color w:val="1F2937"/>
        </w:rPr>
        <w:t>¿Una persona puede administrar promociones y operación rutinaria sin intervención técnica recurrente?</w:t>
      </w:r>
    </w:p>
    <w:p>
      <w:pPr>
        <w:pStyle w:val="ListBullet"/>
        <w:keepLines/>
        <w:ind w:left="720" w:hanging="360"/>
      </w:pPr>
      <w:r>
        <w:rPr>
          <w:rFonts w:ascii="Calibri" w:hAnsi="Calibri"/>
          <w:color w:val="1F2937"/>
        </w:rPr>
        <w:t>¿Cómo se optimiza y mide el recorrido B2C móvil para búsqueda por medida, cuotas, pagos y envío en Argentina?</w:t>
      </w:r>
    </w:p>
    <w:p>
      <w:pPr>
        <w:pStyle w:val="Heading2"/>
        <w:keepNext/>
        <w:keepLines/>
      </w:pPr>
      <w:r>
        <w:t>Producteca y Pirce</w:t>
      </w:r>
    </w:p>
    <w:p>
      <w:pPr>
        <w:pStyle w:val="ListBullet"/>
        <w:keepLines/>
        <w:ind w:left="720" w:hanging="360"/>
      </w:pPr>
      <w:r>
        <w:rPr>
          <w:rFonts w:ascii="Calibri" w:hAnsi="Calibri"/>
          <w:color w:val="1F2937"/>
        </w:rPr>
        <w:t>¿Qué funciones se usan realmente y cuáles podrían eliminarse o renegociarse?</w:t>
      </w:r>
    </w:p>
    <w:p>
      <w:pPr>
        <w:pStyle w:val="ListBullet"/>
        <w:keepLines/>
        <w:ind w:left="720" w:hanging="360"/>
      </w:pPr>
      <w:r>
        <w:rPr>
          <w:rFonts w:ascii="Calibri" w:hAnsi="Calibri"/>
          <w:color w:val="1F2937"/>
        </w:rPr>
        <w:t>¿Quién es el dueño operativo de catálogo, stock, precio, pedidos e incidentes?</w:t>
      </w:r>
    </w:p>
    <w:p>
      <w:pPr>
        <w:pStyle w:val="ListBullet"/>
        <w:keepLines/>
        <w:ind w:left="720" w:hanging="360"/>
      </w:pPr>
      <w:r>
        <w:rPr>
          <w:rFonts w:ascii="Calibri" w:hAnsi="Calibri"/>
          <w:color w:val="1F2937"/>
        </w:rPr>
        <w:t>¿Qué SLA y reportes de errores/incidentes se cumplen hoy?</w:t>
      </w:r>
    </w:p>
    <w:p>
      <w:pPr>
        <w:pStyle w:val="ListBullet"/>
        <w:keepLines/>
        <w:ind w:left="720" w:hanging="360"/>
      </w:pPr>
      <w:r>
        <w:rPr>
          <w:rFonts w:ascii="Calibri" w:hAnsi="Calibri"/>
          <w:color w:val="1F2937"/>
        </w:rPr>
        <w:t>¿Cuál sería el costo de continuidad optimizada y cuál el de una migración asistida?</w:t>
      </w:r>
    </w:p>
    <w:p>
      <w:pPr>
        <w:pStyle w:val="ListBullet"/>
        <w:keepLines/>
        <w:ind w:left="720" w:hanging="360"/>
      </w:pPr>
      <w:r>
        <w:rPr>
          <w:rFonts w:ascii="Calibri" w:hAnsi="Calibri"/>
          <w:color w:val="1F2937"/>
        </w:rPr>
        <w:t>¿Qué parte del fee de Pirce corresponde a complejidad de VTEX y qué parte seguiría existiendo en Tiendanube Evolución o Shopify?</w:t>
      </w:r>
    </w:p>
    <w:p>
      <w:pPr>
        <w:pStyle w:val="ListBullet"/>
        <w:keepLines/>
        <w:ind w:left="720" w:hanging="360"/>
      </w:pPr>
      <w:r>
        <w:rPr>
          <w:rFonts w:ascii="Calibri" w:hAnsi="Calibri"/>
          <w:color w:val="1F2937"/>
        </w:rPr>
        <w:t>¿Puede la solución actual implementar 4x3 solo en 6 cuotas? ¿Con qué costo, plazo y facilidad de administración?</w:t>
      </w:r>
    </w:p>
    <w:p>
      <w:pPr>
        <w:keepLines/>
      </w:pPr>
      <w:r>
        <w:br w:type="page"/>
      </w:r>
    </w:p>
    <w:p>
      <w:pPr>
        <w:pStyle w:val="Heading1"/>
        <w:keepNext/>
        <w:keepLines/>
      </w:pPr>
      <w:r>
        <w:t>9. Fuentes y evidencia</w:t>
      </w:r>
    </w:p>
    <w:p>
      <w:pPr>
        <w:keepLines/>
        <w:spacing w:after="120"/>
      </w:pPr>
      <w:r>
        <w:rPr>
          <w:rFonts w:ascii="Calibri" w:hAnsi="Calibri"/>
          <w:i w:val="0"/>
          <w:color w:val="1F2937"/>
        </w:rPr>
        <w:t>Se priorizaron páginas oficiales de los proveedores y documentación interna del proyecto. Consulta web realizada el 18 de agosto de 2026.</w:t>
      </w:r>
    </w:p>
    <w:p>
      <w:pPr>
        <w:pStyle w:val="ListBullet"/>
        <w:keepLines/>
        <w:spacing w:after="80"/>
      </w:pPr>
      <w:hyperlink r:id="rId13">
        <w:r>
          <w:rPr>
            <w:color w:val="2E74B5"/>
            <w:u w:val="single"/>
            <w:rFonts w:ascii="Calibri" w:hAnsi="Calibri"/>
          </w:rPr>
          <w:t>VTEX Developers — Composability</w:t>
        </w:r>
      </w:hyperlink>
    </w:p>
    <w:p>
      <w:pPr>
        <w:pStyle w:val="ListBullet"/>
        <w:keepLines/>
        <w:spacing w:after="80"/>
      </w:pPr>
      <w:hyperlink r:id="rId14">
        <w:r>
          <w:rPr>
            <w:color w:val="2E74B5"/>
            <w:u w:val="single"/>
            <w:rFonts w:ascii="Calibri" w:hAnsi="Calibri"/>
          </w:rPr>
          <w:t>VTEX — Comercio B2C omnicanal</w:t>
        </w:r>
      </w:hyperlink>
    </w:p>
    <w:p>
      <w:pPr>
        <w:pStyle w:val="ListBullet"/>
        <w:keepLines/>
        <w:spacing w:after="80"/>
      </w:pPr>
      <w:hyperlink r:id="rId15">
        <w:r>
          <w:rPr>
            <w:color w:val="2E74B5"/>
            <w:u w:val="single"/>
            <w:rFonts w:ascii="Calibri" w:hAnsi="Calibri"/>
          </w:rPr>
          <w:t>Producteca — Integración con VTEX</w:t>
        </w:r>
      </w:hyperlink>
    </w:p>
    <w:p>
      <w:pPr>
        <w:pStyle w:val="ListBullet"/>
        <w:keepLines/>
        <w:spacing w:after="80"/>
      </w:pPr>
      <w:hyperlink r:id="rId16">
        <w:r>
          <w:rPr>
            <w:color w:val="2E74B5"/>
            <w:u w:val="single"/>
            <w:rFonts w:ascii="Calibri" w:hAnsi="Calibri"/>
          </w:rPr>
          <w:t>Producteca — Plataforma e integraciones</w:t>
        </w:r>
      </w:hyperlink>
    </w:p>
    <w:p>
      <w:pPr>
        <w:pStyle w:val="ListBullet"/>
        <w:keepLines/>
        <w:spacing w:after="80"/>
      </w:pPr>
      <w:hyperlink r:id="rId17">
        <w:r>
          <w:rPr>
            <w:color w:val="2E74B5"/>
            <w:u w:val="single"/>
            <w:rFonts w:ascii="Calibri" w:hAnsi="Calibri"/>
          </w:rPr>
          <w:t>Producteca — Términos, esquema de precios y SLA</w:t>
        </w:r>
      </w:hyperlink>
    </w:p>
    <w:p>
      <w:pPr>
        <w:pStyle w:val="ListBullet"/>
        <w:keepLines/>
        <w:spacing w:after="80"/>
      </w:pPr>
      <w:hyperlink r:id="rId18">
        <w:r>
          <w:rPr>
            <w:color w:val="2E74B5"/>
            <w:u w:val="single"/>
            <w:rFonts w:ascii="Calibri" w:hAnsi="Calibri"/>
          </w:rPr>
          <w:t>Tiendanube — Planes y precios Argentina</w:t>
        </w:r>
      </w:hyperlink>
    </w:p>
    <w:p>
      <w:pPr>
        <w:pStyle w:val="ListBullet"/>
        <w:keepLines/>
        <w:spacing w:after="80"/>
      </w:pPr>
      <w:hyperlink r:id="rId11">
        <w:r>
          <w:rPr>
            <w:color w:val="2E74B5"/>
            <w:u w:val="single"/>
            <w:rFonts w:ascii="Calibri" w:hAnsi="Calibri"/>
          </w:rPr>
          <w:t>Tiendanube Evolución — Plataforma, diseño y migración</w:t>
        </w:r>
      </w:hyperlink>
    </w:p>
    <w:p>
      <w:pPr>
        <w:pStyle w:val="ListBullet"/>
        <w:keepLines/>
        <w:spacing w:after="80"/>
      </w:pPr>
      <w:hyperlink r:id="rId19">
        <w:r>
          <w:rPr>
            <w:color w:val="2E74B5"/>
            <w:u w:val="single"/>
            <w:rFonts w:ascii="Calibri" w:hAnsi="Calibri"/>
          </w:rPr>
          <w:t>Tiendanube Evolución — Servicios y soporte</w:t>
        </w:r>
      </w:hyperlink>
    </w:p>
    <w:p>
      <w:pPr>
        <w:pStyle w:val="ListBullet"/>
        <w:keepLines/>
        <w:spacing w:after="80"/>
      </w:pPr>
      <w:hyperlink r:id="rId20">
        <w:r>
          <w:rPr>
            <w:color w:val="2E74B5"/>
            <w:u w:val="single"/>
            <w:rFonts w:ascii="Calibri" w:hAnsi="Calibri"/>
          </w:rPr>
          <w:t>Tiendanube Ayuda — Costos y transacciones</w:t>
        </w:r>
      </w:hyperlink>
    </w:p>
    <w:p>
      <w:pPr>
        <w:pStyle w:val="ListBullet"/>
        <w:keepLines/>
        <w:spacing w:after="80"/>
      </w:pPr>
      <w:hyperlink r:id="rId21">
        <w:r>
          <w:rPr>
            <w:color w:val="2E74B5"/>
            <w:u w:val="single"/>
            <w:rFonts w:ascii="Calibri" w:hAnsi="Calibri"/>
          </w:rPr>
          <w:t>Tiendanube Ayuda — Integrar Astroselling</w:t>
        </w:r>
      </w:hyperlink>
    </w:p>
    <w:p>
      <w:pPr>
        <w:pStyle w:val="ListBullet"/>
        <w:keepLines/>
        <w:spacing w:after="80"/>
      </w:pPr>
      <w:hyperlink r:id="rId22">
        <w:r>
          <w:rPr>
            <w:color w:val="2E74B5"/>
            <w:u w:val="single"/>
            <w:rFonts w:ascii="Calibri" w:hAnsi="Calibri"/>
          </w:rPr>
          <w:t>Astroselling Argentina — Funciones, integraciones y planes</w:t>
        </w:r>
      </w:hyperlink>
    </w:p>
    <w:p>
      <w:pPr>
        <w:pStyle w:val="ListBullet"/>
        <w:keepLines/>
        <w:spacing w:after="80"/>
      </w:pPr>
      <w:hyperlink r:id="rId23">
        <w:r>
          <w:rPr>
            <w:color w:val="2E74B5"/>
            <w:u w:val="single"/>
            <w:rFonts w:ascii="Calibri" w:hAnsi="Calibri"/>
          </w:rPr>
          <w:t>Astroselling Ayuda — Conectores de e-commerce</w:t>
        </w:r>
      </w:hyperlink>
    </w:p>
    <w:p>
      <w:pPr>
        <w:pStyle w:val="ListBullet"/>
        <w:keepLines/>
        <w:spacing w:after="80"/>
      </w:pPr>
      <w:hyperlink r:id="rId12">
        <w:r>
          <w:rPr>
            <w:color w:val="2E74B5"/>
            <w:u w:val="single"/>
            <w:rFonts w:ascii="Calibri" w:hAnsi="Calibri"/>
          </w:rPr>
          <w:t>Shopify Argentina — Planes, cargos por pagos externos y funciones</w:t>
        </w:r>
      </w:hyperlink>
    </w:p>
    <w:p>
      <w:pPr>
        <w:pStyle w:val="ListBullet"/>
        <w:keepLines/>
        <w:spacing w:after="80"/>
      </w:pPr>
      <w:hyperlink r:id="rId24">
        <w:r>
          <w:rPr>
            <w:color w:val="2E74B5"/>
            <w:u w:val="single"/>
            <w:rFonts w:ascii="Calibri" w:hAnsi="Calibri"/>
          </w:rPr>
          <w:t>Shopify Ayuda — Países admitidos para Shopify Payments</w:t>
        </w:r>
      </w:hyperlink>
    </w:p>
    <w:p>
      <w:pPr>
        <w:pStyle w:val="ListBullet"/>
        <w:keepLines/>
        <w:spacing w:after="80"/>
      </w:pPr>
      <w:hyperlink r:id="rId25">
        <w:r>
          <w:rPr>
            <w:color w:val="2E74B5"/>
            <w:u w:val="single"/>
            <w:rFonts w:ascii="Calibri" w:hAnsi="Calibri"/>
          </w:rPr>
          <w:t>Shopify Ayuda — Descuentos Compra X y obtén Y</w:t>
        </w:r>
      </w:hyperlink>
    </w:p>
    <w:p>
      <w:pPr>
        <w:pStyle w:val="ListBullet"/>
        <w:keepLines/>
        <w:spacing w:after="80"/>
      </w:pPr>
      <w:hyperlink r:id="rId26">
        <w:r>
          <w:rPr>
            <w:color w:val="2E74B5"/>
            <w:u w:val="single"/>
            <w:rFonts w:ascii="Calibri" w:hAnsi="Calibri"/>
          </w:rPr>
          <w:t>Shopify Developers — Extensión de descuentos con Shopify Functions</w:t>
        </w:r>
      </w:hyperlink>
    </w:p>
    <w:p>
      <w:pPr>
        <w:pStyle w:val="Heading2"/>
        <w:keepNext/>
        <w:keepLines/>
      </w:pPr>
      <w:r>
        <w:t>Evidencia interna consultada</w:t>
      </w:r>
    </w:p>
    <w:p>
      <w:pPr>
        <w:pStyle w:val="ListBullet"/>
        <w:keepLines/>
        <w:ind w:left="720" w:hanging="360"/>
      </w:pPr>
      <w:r>
        <w:rPr>
          <w:rFonts w:ascii="Calibri" w:hAnsi="Calibri"/>
          <w:color w:val="1F2937"/>
        </w:rPr>
        <w:t>REGLAS_PROYECTO.md: confirma que la tienda usa VTEX y que Producteca sincroniza el catálogo con VTEX.</w:t>
      </w:r>
    </w:p>
    <w:p>
      <w:pPr>
        <w:pStyle w:val="ListBullet"/>
        <w:keepLines/>
        <w:ind w:left="720" w:hanging="360"/>
      </w:pPr>
      <w:r>
        <w:rPr>
          <w:rFonts w:ascii="Calibri" w:hAnsi="Calibri"/>
          <w:color w:val="1F2937"/>
        </w:rPr>
        <w:t>Repositorio installments-info-sarachoneumaticos: evidencia una aplicación personalizada VTEX IO para información de cuotas/promociones.</w:t>
      </w:r>
    </w:p>
    <w:p>
      <w:pPr>
        <w:pStyle w:val="ListBullet"/>
        <w:keepLines/>
        <w:ind w:left="720" w:hanging="360"/>
      </w:pPr>
      <w:r>
        <w:rPr>
          <w:rFonts w:ascii="Calibri" w:hAnsi="Calibri"/>
          <w:color w:val="1F2937"/>
        </w:rPr>
        <w:t>Archivos y reportes del proyecto: evidencian catálogo de neumáticos, kits, dimensiones logísticas y reportes operativos VTEX.</w:t>
      </w:r>
    </w:p>
    <w:p>
      <w:pPr>
        <w:pStyle w:val="ListBullet"/>
        <w:keepLines/>
        <w:ind w:left="720" w:hanging="360"/>
      </w:pPr>
      <w:r>
        <w:rPr>
          <w:rFonts w:ascii="Calibri" w:hAnsi="Calibri"/>
          <w:color w:val="1F2937"/>
        </w:rPr>
        <w:t>Antecedente informado por Saracho Neumáticos: ya hubo conversaciones con Astroselling y el proveedor manifestó disposición a desarrollar una integración con VTEX.</w:t>
      </w:r>
    </w:p>
    <w:p>
      <w:pPr>
        <w:pStyle w:val="ListBullet"/>
        <w:ind w:left="720" w:hanging="360"/>
      </w:pPr>
      <w:r>
        <w:rPr>
          <w:rFonts w:ascii="Calibri" w:hAnsi="Calibri"/>
          <w:color w:val="1F2937"/>
        </w:rPr>
        <w:t>Objetivo informado por Saracho Neumáticos: reducir costos por el nivel bajo de ventas y demostrar mediante desarrollo custom que Tiendanube Evolución o Shopify pueden alcanzar una presentación comparable con VTEX.</w:t>
      </w:r>
    </w:p>
    <w:p>
      <w:pPr>
        <w:pStyle w:val="ListBullet"/>
        <w:keepLines/>
        <w:ind w:left="720" w:hanging="360"/>
      </w:pPr>
      <w:r>
        <w:rPr>
          <w:rFonts w:ascii="Calibri" w:hAnsi="Calibri"/>
          <w:color w:val="1F2937"/>
        </w:rPr>
        <w:t>Restricción informada por Saracho Neumáticos: existen promociones como 4x3 válidas solo en 6 cuotas que la implementación actual de VTEX no permite limitar como se necesita.</w:t>
      </w:r>
    </w:p>
    <w:p>
      <w:pPr>
        <w:pStyle w:val="ListBullet"/>
        <w:keepLines/>
        <w:ind w:left="720" w:hanging="360"/>
      </w:pPr>
      <w:r>
        <w:rPr>
          <w:rFonts w:ascii="Calibri" w:hAnsi="Calibri"/>
          <w:color w:val="1F2937"/>
        </w:rPr>
        <w:t>Capacidad informada por Saracho Neumáticos: la dotación dedicada a la página web es reducida y no puede absorber alta carga manual ni coordinación constante.</w:t>
      </w:r>
    </w:p>
    <w:p>
      <w:pPr>
        <w:pStyle w:val="ListBullet"/>
        <w:keepLines/>
        <w:ind w:left="720" w:hanging="360"/>
      </w:pPr>
      <w:r>
        <w:rPr>
          <w:rFonts w:ascii="Calibri" w:hAnsi="Calibri"/>
          <w:color w:val="1F2937"/>
        </w:rPr>
        <w:t>Modelo informado por Saracho Neumáticos: el negocio es B2C; deben priorizarse conversión, móvil, cuotas, promociones, pagos, envíos y autogestión.</w:t>
      </w:r>
    </w:p>
    <w:p>
      <w:pPr>
        <w:pStyle w:val="ListBullet"/>
        <w:keepLines/>
        <w:ind w:left="720" w:hanging="360"/>
      </w:pPr>
      <w:r>
        <w:rPr>
          <w:rFonts w:ascii="Calibri" w:hAnsi="Calibri"/>
          <w:color w:val="1F2937"/>
        </w:rPr>
        <w:t>Alternativa informada por Saracho Neumáticos: la propuesta Tiendanube a evaluar corresponde específicamente al plan Evolución.</w:t>
      </w:r>
    </w:p>
    <w:p>
      <w:pPr>
        <w:pStyle w:val="Heading2"/>
        <w:keepNext/>
        <w:keepLines/>
      </w:pPr>
      <w:r>
        <w:t>Lectura de la integración VTEX propuesta por Astroselling</w:t>
      </w:r>
    </w:p>
    <w:p>
      <w:pPr>
        <w:spacing w:after="120"/>
      </w:pPr>
      <w:r>
        <w:rPr>
          <w:rFonts w:ascii="Calibri" w:hAnsi="Calibri"/>
          <w:i w:val="0"/>
          <w:color w:val="1F2937"/>
        </w:rPr>
        <w:t>La documentación pública consultada de Astroselling enumera conectores como Tiendanube, Shopify, WooCommerce, Wix y otros, pero no VTEX. Aunque Astroselling manifestó disposición a desarrollar esa integración, el escenario VTEX + Astroselling se mantiene como hipótesis y queda fuera del caso base hasta que exista propuesta formal y prueba de concepto.</w:t>
      </w:r>
    </w:p>
    <w:tbl>
      <w:tblPr>
        <w:tblW w:type="dxa" w:w="9360"/>
        <w:jc w:val="left"/>
        <w:tblLayout w:type="fixed"/>
        <w:tblLook w:firstColumn="1" w:firstRow="1" w:lastColumn="0" w:lastRow="0" w:noHBand="0" w:noVBand="1" w:val="04A0"/>
        <w:tblInd w:type="dxa" w:w="180"/>
      </w:tblPr>
      <w:tblGrid>
        <w:gridCol w:w="9360"/>
      </w:tblGrid>
      <w:tr>
        <w:trPr>
          <w:tblHeader w:val="true"/>
        </w:trPr>
        <w:tc>
          <w:tcPr>
            <w:tcW w:type="dxa" w:w="9360"/>
            <w:shd w:fill="F2F4F7"/>
            <w:tcBorders>
              <w:top w:val="nil"/>
              <w:left w:val="single" w:sz="26" w:space="0" w:color="17365D"/>
              <w:bottom w:val="nil"/>
              <w:right w:val="nil"/>
            </w:tcBorders>
            <w:tcMar>
              <w:top w:w="130" w:type="dxa"/>
              <w:bottom w:w="130" w:type="dxa"/>
              <w:start w:w="180" w:type="dxa"/>
              <w:end w:w="180" w:type="dxa"/>
            </w:tcMar>
          </w:tcPr>
          <w:p>
            <w:pPr>
              <w:spacing w:after="40"/>
            </w:pPr>
            <w:r>
              <w:rPr>
                <w:rFonts w:ascii="Calibri" w:hAnsi="Calibri"/>
                <w:b/>
                <w:color w:val="17365D"/>
                <w:sz w:val="18"/>
              </w:rPr>
              <w:t>NOTA FINAL</w:t>
            </w:r>
          </w:p>
          <w:p>
            <w:pPr>
              <w:spacing w:after="20" w:line="259" w:lineRule="auto"/>
            </w:pPr>
            <w:r>
              <w:rPr>
                <w:rFonts w:ascii="Calibri" w:hAnsi="Calibri"/>
                <w:b/>
                <w:color w:val="1F2937"/>
                <w:sz w:val="21"/>
              </w:rPr>
              <w:t>Este informe recomienda un proceso de decisión; no una migración inmediata. La información comercial y técnica debe cerrarse con propuestas vigentes, contratos, SLAs y pruebas sobre el catálogo real de Saracho Neumáticos.</w:t>
            </w:r>
          </w:p>
        </w:tc>
      </w:tr>
    </w:tbl>
    <w:p>
      <w:pPr>
        <w:keepLines/>
        <w:spacing w:after="20"/>
      </w:pPr>
    </w:p>
    <w:sectPr w:rsidR="00FC693F" w:rsidRPr="0006063C" w:rsidSect="00034616">
      <w:headerReference w:type="default" r:id="rId9"/>
      <w:footerReference w:type="default" r:id="rId10"/>
      <w:pgSz w:w="12240" w:h="15840"/>
      <w:pgMar w:top="1123" w:right="1440" w:bottom="1066" w:left="1440"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Pr>
        <w:rFonts w:ascii="Calibri" w:hAnsi="Calibri"/>
        <w:color w:val="5B6573"/>
        <w:sz w:val="16"/>
      </w:rPr>
      <w:t xml:space="preserve">Agosto 2026   •   </w:t>
    </w:r>
    <w:r>
      <w:rPr>
        <w:rFonts w:ascii="Calibri" w:hAnsi="Calibri"/>
        <w:color w:val="5B6573"/>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6" w:space="3" w:color="D6DEE8"/>
      </w:pBdr>
    </w:pPr>
    <w:r>
      <w:rPr>
        <w:rFonts w:ascii="Calibri" w:hAnsi="Calibri"/>
        <w:b/>
        <w:color w:val="5B6573"/>
        <w:sz w:val="16"/>
      </w:rPr>
      <w:t>SARACHO NEUMÁTICOS  |  INFORME DE DECISIÓN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i/>
      <w:iCs/>
      <w:color w:val="5B6573"/>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tiendanube.com/evolucion/plataforma" TargetMode="External"/><Relationship Id="rId12" Type="http://schemas.openxmlformats.org/officeDocument/2006/relationships/hyperlink" Target="https://www.shopify.com/ar/precios" TargetMode="External"/><Relationship Id="rId13" Type="http://schemas.openxmlformats.org/officeDocument/2006/relationships/hyperlink" Target="https://developers.vtex.com/docs/guides/composability" TargetMode="External"/><Relationship Id="rId14" Type="http://schemas.openxmlformats.org/officeDocument/2006/relationships/hyperlink" Target="https://www.vtex.com/es-mx/solutions/business-needs/b2c-omnichannel/" TargetMode="External"/><Relationship Id="rId15" Type="http://schemas.openxmlformats.org/officeDocument/2006/relationships/hyperlink" Target="https://www.producteca.com/integraciones/vtex" TargetMode="External"/><Relationship Id="rId16" Type="http://schemas.openxmlformats.org/officeDocument/2006/relationships/hyperlink" Target="https://www.producteca.com/" TargetMode="External"/><Relationship Id="rId17" Type="http://schemas.openxmlformats.org/officeDocument/2006/relationships/hyperlink" Target="https://www.producteca.com/terminos-y-condiciones-de-uso-y-politicas-de-privacidad" TargetMode="External"/><Relationship Id="rId18" Type="http://schemas.openxmlformats.org/officeDocument/2006/relationships/hyperlink" Target="https://www.tiendanube.com/planes-y-precios" TargetMode="External"/><Relationship Id="rId19" Type="http://schemas.openxmlformats.org/officeDocument/2006/relationships/hyperlink" Target="https://www.tiendanube.com/evolucion/servicios" TargetMode="External"/><Relationship Id="rId20" Type="http://schemas.openxmlformats.org/officeDocument/2006/relationships/hyperlink" Target="https://ayuda.tiendanube.com/es_AR/sobre-tiendanube/que-costo-tiene-tiendanube" TargetMode="External"/><Relationship Id="rId21" Type="http://schemas.openxmlformats.org/officeDocument/2006/relationships/hyperlink" Target="https://ayuda.tiendanube.com/es_AR/123518-aplicaciones-de-canales-de-venta/como-integrar-astroselling-con-mi-tienda" TargetMode="External"/><Relationship Id="rId22" Type="http://schemas.openxmlformats.org/officeDocument/2006/relationships/hyperlink" Target="https://www.astroselling.com/es/ar/" TargetMode="External"/><Relationship Id="rId23" Type="http://schemas.openxmlformats.org/officeDocument/2006/relationships/hyperlink" Target="https://help.astroselling.com/es/collections/3653305-conectar-e-commerce" TargetMode="External"/><Relationship Id="rId24" Type="http://schemas.openxmlformats.org/officeDocument/2006/relationships/hyperlink" Target="https://help.shopify.com/es/manual/payments/shopify-payments/supported-countries" TargetMode="External"/><Relationship Id="rId25" Type="http://schemas.openxmlformats.org/officeDocument/2006/relationships/hyperlink" Target="https://help.shopify.com/es/manual/discounts/discount-types/buy-x-get-y" TargetMode="External"/><Relationship Id="rId26" Type="http://schemas.openxmlformats.org/officeDocument/2006/relationships/hyperlink" Target="https://shopify.dev/docs/apps/build/discounts/ind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VTEX vs. Tiendanube vs. Shopify — Saracho Neumáticos</dc:title>
  <dc:subject>Evaluación de plataforma e integradores</dc:subject>
  <dc:creator>Saracho Neumáticos</dc:creator>
  <cp:keywords>VTEX, Tiendanube, Shopify, Producteca, Astroselling, Pirce, ecommerce</cp:keywords>
  <dc:description>generated by python-docx</dc:description>
  <cp:lastModifiedBy/>
  <cp:revision>1</cp:revision>
  <dcterms:created xsi:type="dcterms:W3CDTF">2013-12-23T23:15:00Z</dcterms:created>
  <dcterms:modified xsi:type="dcterms:W3CDTF">2013-12-23T23:15:00Z</dcterms:modified>
  <cp:category/>
</cp:coreProperties>
</file>