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before="360" w:after="80"/>
      </w:pPr>
      <w:r>
        <w:rPr>
          <w:rFonts w:ascii="Calibri" w:hAnsi="Calibri"/>
          <w:b/>
          <w:color w:val="178A8A"/>
          <w:sz w:val="20"/>
        </w:rPr>
        <w:t>INFORME DE DECISIÓN</w:t>
      </w:r>
    </w:p>
    <w:p>
      <w:pPr>
        <w:pStyle w:val="Title"/>
        <w:keepLines/>
        <w:spacing w:after="80"/>
      </w:pPr>
      <w:r>
        <w:rPr>
          <w:rFonts w:ascii="Calibri" w:hAnsi="Calibri"/>
          <w:b/>
          <w:color w:val="17365D"/>
          <w:sz w:val="54"/>
        </w:rPr>
        <w:t>VTEX vs. Tiendanube</w:t>
      </w:r>
    </w:p>
    <w:p>
      <w:pPr>
        <w:pStyle w:val="Subtitle"/>
        <w:keepLines/>
        <w:spacing w:after="240"/>
      </w:pPr>
      <w:r>
        <w:rPr>
          <w:rFonts w:ascii="Calibri" w:hAnsi="Calibri"/>
          <w:color w:val="5B6573"/>
          <w:sz w:val="28"/>
        </w:rPr>
        <w:t>Evaluación del ecosistema VTEX + Producteca + Pirce y del posible cambio a Astroselling</w:t>
      </w:r>
    </w:p>
    <w:tbl>
      <w:tblPr>
        <w:tblStyle w:val="TableGrid"/>
        <w:tblW w:type="dxa" w:w="9360"/>
        <w:jc w:val="left"/>
        <w:tblLayout w:type="fixed"/>
        <w:tblLook w:firstColumn="1" w:firstRow="1" w:lastColumn="0" w:lastRow="0" w:noHBand="0" w:noVBand="1" w:val="04A0"/>
        <w:tblInd w:type="dxa" w:w="120"/>
      </w:tblPr>
      <w:tblGrid>
        <w:gridCol w:w="1900"/>
        <w:gridCol w:w="7460"/>
      </w:tblGrid>
      <w:tr>
        <w:trPr>
          <w:tblHeader w:val="true"/>
        </w:trPr>
        <w:tc>
          <w:tcPr>
            <w:tcW w:type="dxa" w:w="1900"/>
            <w:shd w:fill="EAF2F8"/>
            <w:vAlign w:val="center"/>
            <w:tcMar>
              <w:top w:w="80" w:type="dxa"/>
              <w:bottom w:w="80" w:type="dxa"/>
              <w:start w:w="120" w:type="dxa"/>
              <w:end w:w="120" w:type="dxa"/>
            </w:tcMar>
          </w:tcPr>
          <w:p>
            <w:pPr>
              <w:spacing w:after="0"/>
            </w:pPr>
            <w:r>
              <w:rPr>
                <w:rFonts w:ascii="Calibri" w:hAnsi="Calibri"/>
                <w:b/>
                <w:color w:val="17365D"/>
                <w:sz w:val="18"/>
              </w:rPr>
              <w:t>Empresa</w:t>
            </w:r>
          </w:p>
        </w:tc>
        <w:tc>
          <w:tcPr>
            <w:tcW w:type="dxa" w:w="7460"/>
            <w:vAlign w:val="center"/>
            <w:tcMar>
              <w:top w:w="80" w:type="dxa"/>
              <w:bottom w:w="80" w:type="dxa"/>
              <w:start w:w="120" w:type="dxa"/>
              <w:end w:w="120" w:type="dxa"/>
            </w:tcMar>
          </w:tcPr>
          <w:p>
            <w:pPr>
              <w:spacing w:after="0"/>
            </w:pPr>
            <w:r>
              <w:rPr>
                <w:rFonts w:ascii="Calibri" w:hAnsi="Calibri"/>
                <w:b w:val="0"/>
                <w:color w:val="1F2937"/>
                <w:sz w:val="18"/>
              </w:rPr>
              <w:t>Saracho Neumáticos</w:t>
            </w:r>
          </w:p>
        </w:tc>
      </w:tr>
      <w:tr>
        <w:trPr/>
        <w:tc>
          <w:tcPr>
            <w:tcW w:type="dxa" w:w="1900"/>
            <w:shd w:fill="EAF2F8"/>
            <w:vAlign w:val="center"/>
            <w:tcMar>
              <w:top w:w="80" w:type="dxa"/>
              <w:bottom w:w="80" w:type="dxa"/>
              <w:start w:w="120" w:type="dxa"/>
              <w:end w:w="120" w:type="dxa"/>
            </w:tcMar>
          </w:tcPr>
          <w:p>
            <w:pPr>
              <w:spacing w:after="0"/>
            </w:pPr>
            <w:r>
              <w:rPr>
                <w:rFonts w:ascii="Calibri" w:hAnsi="Calibri"/>
                <w:b/>
                <w:color w:val="17365D"/>
                <w:sz w:val="18"/>
              </w:rPr>
              <w:t>Fecha</w:t>
            </w:r>
          </w:p>
        </w:tc>
        <w:tc>
          <w:tcPr>
            <w:tcW w:type="dxa" w:w="7460"/>
            <w:vAlign w:val="center"/>
            <w:tcMar>
              <w:top w:w="80" w:type="dxa"/>
              <w:bottom w:w="80" w:type="dxa"/>
              <w:start w:w="120" w:type="dxa"/>
              <w:end w:w="120" w:type="dxa"/>
            </w:tcMar>
          </w:tcPr>
          <w:p>
            <w:pPr>
              <w:spacing w:after="0"/>
            </w:pPr>
            <w:r>
              <w:rPr>
                <w:rFonts w:ascii="Calibri" w:hAnsi="Calibri"/>
                <w:b w:val="0"/>
                <w:color w:val="1F2937"/>
                <w:sz w:val="18"/>
              </w:rPr>
              <w:t>18 de agosto de 2026</w:t>
            </w:r>
          </w:p>
        </w:tc>
      </w:tr>
      <w:tr>
        <w:trPr/>
        <w:tc>
          <w:tcPr>
            <w:tcW w:type="dxa" w:w="1900"/>
            <w:shd w:fill="EAF2F8"/>
            <w:vAlign w:val="center"/>
            <w:tcMar>
              <w:top w:w="80" w:type="dxa"/>
              <w:bottom w:w="80" w:type="dxa"/>
              <w:start w:w="120" w:type="dxa"/>
              <w:end w:w="120" w:type="dxa"/>
            </w:tcMar>
          </w:tcPr>
          <w:p>
            <w:pPr>
              <w:spacing w:after="0"/>
            </w:pPr>
            <w:r>
              <w:rPr>
                <w:rFonts w:ascii="Calibri" w:hAnsi="Calibri"/>
                <w:b/>
                <w:color w:val="17365D"/>
                <w:sz w:val="18"/>
              </w:rPr>
              <w:t>Objetivo</w:t>
            </w:r>
          </w:p>
        </w:tc>
        <w:tc>
          <w:tcPr>
            <w:tcW w:type="dxa" w:w="7460"/>
            <w:vAlign w:val="center"/>
            <w:tcMar>
              <w:top w:w="80" w:type="dxa"/>
              <w:bottom w:w="80" w:type="dxa"/>
              <w:start w:w="120" w:type="dxa"/>
              <w:end w:w="120" w:type="dxa"/>
            </w:tcMar>
          </w:tcPr>
          <w:p>
            <w:pPr>
              <w:spacing w:after="0"/>
            </w:pPr>
            <w:r>
              <w:rPr>
                <w:rFonts w:ascii="Calibri" w:hAnsi="Calibri"/>
                <w:b w:val="0"/>
                <w:color w:val="1F2937"/>
                <w:sz w:val="18"/>
              </w:rPr>
              <w:t>Definir una ruta de plataforma e integración con menor costo y riesgo operativo</w:t>
            </w:r>
          </w:p>
        </w:tc>
      </w:tr>
      <w:tr>
        <w:trPr/>
        <w:tc>
          <w:tcPr>
            <w:tcW w:type="dxa" w:w="1900"/>
            <w:shd w:fill="EAF2F8"/>
            <w:vAlign w:val="center"/>
            <w:tcMar>
              <w:top w:w="80" w:type="dxa"/>
              <w:bottom w:w="80" w:type="dxa"/>
              <w:start w:w="120" w:type="dxa"/>
              <w:end w:w="120" w:type="dxa"/>
            </w:tcMar>
          </w:tcPr>
          <w:p>
            <w:pPr>
              <w:spacing w:after="0"/>
            </w:pPr>
            <w:r>
              <w:rPr>
                <w:rFonts w:ascii="Calibri" w:hAnsi="Calibri"/>
                <w:b/>
                <w:color w:val="17365D"/>
                <w:sz w:val="18"/>
              </w:rPr>
              <w:t>Alcance</w:t>
            </w:r>
          </w:p>
        </w:tc>
        <w:tc>
          <w:tcPr>
            <w:tcW w:type="dxa" w:w="7460"/>
            <w:vAlign w:val="center"/>
            <w:tcMar>
              <w:top w:w="80" w:type="dxa"/>
              <w:bottom w:w="80" w:type="dxa"/>
              <w:start w:w="120" w:type="dxa"/>
              <w:end w:w="120" w:type="dxa"/>
            </w:tcMar>
          </w:tcPr>
          <w:p>
            <w:pPr>
              <w:spacing w:after="0"/>
            </w:pPr>
            <w:r>
              <w:rPr>
                <w:rFonts w:ascii="Calibri" w:hAnsi="Calibri"/>
                <w:b w:val="0"/>
                <w:color w:val="1F2937"/>
                <w:sz w:val="18"/>
              </w:rPr>
              <w:t>Plataforma, catálogo, stock, precios, pedidos, marketplaces, personalización y soporte</w:t>
            </w:r>
          </w:p>
        </w:tc>
      </w:tr>
      <w:tr>
        <w:trPr/>
        <w:tc>
          <w:tcPr>
            <w:tcW w:type="dxa" w:w="1900"/>
            <w:shd w:fill="EAF2F8"/>
            <w:vAlign w:val="center"/>
            <w:tcMar>
              <w:top w:w="80" w:type="dxa"/>
              <w:bottom w:w="80" w:type="dxa"/>
              <w:start w:w="120" w:type="dxa"/>
              <w:end w:w="120" w:type="dxa"/>
            </w:tcMar>
          </w:tcPr>
          <w:p>
            <w:pPr>
              <w:spacing w:after="0"/>
            </w:pPr>
            <w:r>
              <w:rPr>
                <w:rFonts w:ascii="Calibri" w:hAnsi="Calibri"/>
                <w:b/>
                <w:color w:val="17365D"/>
                <w:sz w:val="18"/>
              </w:rPr>
              <w:t>Estado</w:t>
            </w:r>
          </w:p>
        </w:tc>
        <w:tc>
          <w:tcPr>
            <w:tcW w:type="dxa" w:w="7460"/>
            <w:vAlign w:val="center"/>
            <w:tcMar>
              <w:top w:w="80" w:type="dxa"/>
              <w:bottom w:w="80" w:type="dxa"/>
              <w:start w:w="120" w:type="dxa"/>
              <w:end w:w="120" w:type="dxa"/>
            </w:tcMar>
          </w:tcPr>
          <w:p>
            <w:pPr>
              <w:spacing w:after="0"/>
            </w:pPr>
            <w:r>
              <w:rPr>
                <w:rFonts w:ascii="Calibri" w:hAnsi="Calibri"/>
                <w:b w:val="0"/>
                <w:color w:val="1F2937"/>
                <w:sz w:val="18"/>
              </w:rPr>
              <w:t>Recomendación preliminar sujeta a costos reales y prueba técnica</w:t>
            </w:r>
          </w:p>
        </w:tc>
      </w:tr>
    </w:tbl>
    <w:p>
      <w:pPr>
        <w:keepLines/>
        <w:spacing w:after="60"/>
      </w:pPr>
    </w:p>
    <w:tbl>
      <w:tblPr>
        <w:tblW w:type="dxa" w:w="9360"/>
        <w:jc w:val="left"/>
        <w:tblLayout w:type="fixed"/>
        <w:tblLook w:firstColumn="1" w:firstRow="1" w:lastColumn="0" w:lastRow="0" w:noHBand="0" w:noVBand="1" w:val="04A0"/>
        <w:tblInd w:type="dxa" w:w="180"/>
      </w:tblPr>
      <w:tblGrid>
        <w:gridCol w:w="9360"/>
      </w:tblGrid>
      <w:tr>
        <w:trPr>
          <w:tblHeader w:val="true"/>
        </w:trPr>
        <w:tc>
          <w:tcPr>
            <w:tcW w:type="dxa" w:w="9360"/>
            <w:shd w:fill="FFF4DE"/>
            <w:tcBorders>
              <w:top w:val="nil"/>
              <w:left w:val="single" w:sz="26" w:space="0" w:color="B36B00"/>
              <w:bottom w:val="nil"/>
              <w:right w:val="nil"/>
            </w:tcBorders>
            <w:tcMar>
              <w:top w:w="130" w:type="dxa"/>
              <w:bottom w:w="130" w:type="dxa"/>
              <w:start w:w="180" w:type="dxa"/>
              <w:end w:w="180" w:type="dxa"/>
            </w:tcMar>
          </w:tcPr>
          <w:p>
            <w:pPr>
              <w:spacing w:after="40"/>
            </w:pPr>
            <w:r>
              <w:rPr>
                <w:rFonts w:ascii="Calibri" w:hAnsi="Calibri"/>
                <w:b/>
                <w:color w:val="B36B00"/>
                <w:sz w:val="18"/>
              </w:rPr>
              <w:t>CONCLUSIÓN EJECUTIVA</w:t>
            </w:r>
          </w:p>
          <w:p>
            <w:pPr>
              <w:spacing w:after="20" w:line="259" w:lineRule="auto"/>
            </w:pPr>
            <w:r>
              <w:rPr>
                <w:rFonts w:ascii="Calibri" w:hAnsi="Calibri"/>
                <w:b/>
                <w:color w:val="1F2937"/>
                <w:sz w:val="21"/>
              </w:rPr>
              <w:t>La prioridad es bajar el costo fijo porque el nivel de ventas está bajo, sin resignar imagen ni capacidad comercial. Astroselling ya manifestó en conversaciones con Saracho Neumáticos su disposición a desarrollar una integración con VTEX; esto vuelve viable una prueba, pero no equivale todavía a un conector productivo con alcance y SLA cerrados. La alternativa estructural a evaluar es Tiendanube + Astroselling, acompañada por una demostración custom que pruebe que la tienda puede verse tan bien como la actual en VTEX.</w:t>
            </w:r>
          </w:p>
        </w:tc>
      </w:tr>
    </w:tbl>
    <w:p>
      <w:pPr>
        <w:keepLines/>
        <w:spacing w:after="20"/>
      </w:pPr>
    </w:p>
    <w:p>
      <w:pPr>
        <w:keepLines/>
        <w:spacing w:before="140" w:after="60"/>
      </w:pPr>
      <w:r>
        <w:rPr>
          <w:rFonts w:ascii="Calibri" w:hAnsi="Calibri"/>
          <w:b/>
          <w:color w:val="178A8A"/>
          <w:sz w:val="18"/>
        </w:rPr>
        <w:t>DECISIÓN PROPUESTA</w:t>
      </w:r>
    </w:p>
    <w:p>
      <w:pPr>
        <w:pStyle w:val="ListBullet"/>
        <w:keepLines/>
        <w:ind w:left="720" w:hanging="360"/>
      </w:pPr>
      <w:r>
        <w:rPr>
          <w:rFonts w:ascii="Calibri" w:hAnsi="Calibri"/>
          <w:color w:val="1F2937"/>
        </w:rPr>
        <w:t>Mantener el esquema actual durante el análisis y no hacer un reemplazo directo de Producteca.</w:t>
      </w:r>
    </w:p>
    <w:p>
      <w:pPr>
        <w:pStyle w:val="ListBullet"/>
        <w:keepLines/>
        <w:ind w:left="720" w:hanging="360"/>
      </w:pPr>
      <w:r>
        <w:rPr>
          <w:rFonts w:ascii="Calibri" w:hAnsi="Calibri"/>
          <w:color w:val="1F2937"/>
        </w:rPr>
        <w:t>Formalizar con Astroselling lo conversado: propuesta de integración VTEX, alcance bidireccional, costo, mantenimiento y SLA; validarlo con una prueba de concepto.</w:t>
      </w:r>
    </w:p>
    <w:p>
      <w:pPr>
        <w:pStyle w:val="ListBullet"/>
        <w:keepLines/>
        <w:ind w:left="720" w:hanging="360"/>
      </w:pPr>
      <w:r>
        <w:rPr>
          <w:rFonts w:ascii="Calibri" w:hAnsi="Calibri"/>
          <w:color w:val="1F2937"/>
        </w:rPr>
        <w:t>Construir una demo custom de Tiendanube —Home, listado, ficha, cuotas, carrito y móvil— para comparar calidad visual y experiencia con VTEX.</w:t>
      </w:r>
    </w:p>
    <w:p>
      <w:pPr>
        <w:pStyle w:val="ListBullet"/>
        <w:keepLines/>
        <w:ind w:left="720" w:hanging="360"/>
      </w:pPr>
      <w:r>
        <w:rPr>
          <w:rFonts w:ascii="Calibri" w:hAnsi="Calibri"/>
          <w:color w:val="1F2937"/>
        </w:rPr>
        <w:t>Comparar continuidad optimizada en VTEX versus migración completa a Tiendanube + Astroselling, usando costo total a 24 meses, impacto inmediato en caja y pruebas técnica/visual.</w:t>
      </w:r>
    </w:p>
    <w:p>
      <w:pPr>
        <w:keepLines/>
        <w:spacing w:before="140" w:after="40"/>
      </w:pPr>
      <w:r>
        <w:rPr>
          <w:rFonts w:ascii="Calibri" w:hAnsi="Calibri"/>
          <w:b/>
          <w:color w:val="17365D"/>
          <w:sz w:val="18"/>
        </w:rPr>
        <w:t>Lectura rápida</w:t>
      </w:r>
    </w:p>
    <w:p>
      <w:pPr>
        <w:spacing w:after="0"/>
      </w:pPr>
      <w:r>
        <w:rPr>
          <w:rFonts w:ascii="Calibri" w:hAnsi="Calibri"/>
          <w:i w:val="0"/>
          <w:color w:val="1F2937"/>
        </w:rPr>
        <w:t>VTEX ofrece más potencia, control y capacidad de evolución; Tiendanube ofrece mayor simplicidad y una estructura potencialmente más liviana para una operación estándar. Con ventas bajas, el costo fijo mensual gana peso en la decisión. La demo debe demostrar que bajar costos no obliga a aceptar una tienda visualmente inferior.</w:t>
      </w:r>
    </w:p>
    <w:p>
      <w:pPr>
        <w:keepLines/>
      </w:pPr>
      <w:r>
        <w:br w:type="page"/>
      </w:r>
    </w:p>
    <w:p>
      <w:pPr>
        <w:pStyle w:val="Heading1"/>
        <w:keepNext/>
        <w:keepLines/>
      </w:pPr>
      <w:r>
        <w:t>1. Contexto y arquitectura actual</w:t>
      </w:r>
    </w:p>
    <w:p>
      <w:pPr>
        <w:spacing w:after="120"/>
      </w:pPr>
      <w:r>
        <w:rPr>
          <w:rFonts w:ascii="Calibri" w:hAnsi="Calibri"/>
          <w:i w:val="0"/>
          <w:color w:val="1F2937"/>
        </w:rPr>
        <w:t>Saracho Neumáticos opera su tienda en VTEX. Producteca sincroniza el catálogo con VTEX y, por lo tanto, interviene en datos críticos como productos, precios, stock y pedidos. Pirce se incorpora en este informe como el integrador/partner operativo actual; su alcance exacto, contrato, fee y responsabilidades deben validarse antes de tomar una decisión.</w:t>
      </w:r>
    </w:p>
    <w:p>
      <w:pPr>
        <w:spacing w:after="120"/>
      </w:pPr>
      <w:r>
        <w:rPr>
          <w:rFonts w:ascii="Calibri" w:hAnsi="Calibri"/>
          <w:i w:val="0"/>
          <w:color w:val="1F2937"/>
        </w:rPr>
        <w:t>La documentación interna también evidencia desarrollo específico sobre VTEX IO para información de cuotas y promociones. Ese activo no migra automáticamente a Tiendanube: deberá reemplazarse por funcionalidad nativa, una aplicación equivalente o un nuevo desarrollo.</w:t>
      </w:r>
    </w:p>
    <w:p>
      <w:pPr>
        <w:spacing w:after="120"/>
      </w:pPr>
      <w:r>
        <w:rPr>
          <w:rFonts w:ascii="Calibri" w:hAnsi="Calibri"/>
          <w:i w:val="0"/>
          <w:color w:val="1F2937"/>
        </w:rPr>
        <w:t>Como antecedente comercial relevante, Saracho Neumáticos ya mantuvo conversaciones con Astroselling para analizar una integración con VTEX y el proveedor manifestó disposición a desarrollarla. El informe trata esa disposición como una oportunidad concreta, aunque pendiente de propuesta formal, definición técnica, costos, SLA y prueba productiva.</w:t>
      </w:r>
    </w:p>
    <w:tbl>
      <w:tblPr>
        <w:tblW w:type="dxa" w:w="9360"/>
        <w:jc w:val="left"/>
        <w:tblLayout w:type="fixed"/>
        <w:tblLook w:firstColumn="1" w:firstRow="1" w:lastColumn="0" w:lastRow="0" w:noHBand="0" w:noVBand="1" w:val="04A0"/>
        <w:tblInd w:type="dxa" w:w="180"/>
      </w:tblPr>
      <w:tblGrid>
        <w:gridCol w:w="9360"/>
      </w:tblGrid>
      <w:tr>
        <w:trPr>
          <w:tblHeader w:val="true"/>
        </w:trPr>
        <w:tc>
          <w:tcPr>
            <w:tcW w:type="dxa" w:w="9360"/>
            <w:shd w:fill="EAF5EC"/>
            <w:tcBorders>
              <w:top w:val="nil"/>
              <w:left w:val="single" w:sz="26" w:space="0" w:color="2E7D32"/>
              <w:bottom w:val="nil"/>
              <w:right w:val="nil"/>
            </w:tcBorders>
            <w:tcMar>
              <w:top w:w="130" w:type="dxa"/>
              <w:bottom w:w="130" w:type="dxa"/>
              <w:start w:w="180" w:type="dxa"/>
              <w:end w:w="180" w:type="dxa"/>
            </w:tcMar>
          </w:tcPr>
          <w:p>
            <w:pPr>
              <w:spacing w:after="40"/>
            </w:pPr>
            <w:r>
              <w:rPr>
                <w:rFonts w:ascii="Calibri" w:hAnsi="Calibri"/>
                <w:b/>
                <w:color w:val="2E7D32"/>
                <w:sz w:val="18"/>
              </w:rPr>
              <w:t>PRIORIDAD DEL NEGOCIO</w:t>
            </w:r>
          </w:p>
          <w:p>
            <w:pPr>
              <w:spacing w:after="20" w:line="259" w:lineRule="auto"/>
            </w:pPr>
            <w:r>
              <w:rPr>
                <w:rFonts w:ascii="Calibri" w:hAnsi="Calibri"/>
                <w:b/>
                <w:color w:val="1F2937"/>
                <w:sz w:val="21"/>
              </w:rPr>
              <w:t>La baja de ventas vuelve urgente reducir el punto de equilibrio mensual. La decisión debe privilegiar ahorro recurrente y simplicidad, pero proteger conversión, posicionamiento de marca y continuidad operativa.</w:t>
            </w:r>
          </w:p>
        </w:tc>
      </w:tr>
    </w:tbl>
    <w:p>
      <w:pPr>
        <w:keepLines/>
        <w:spacing w:after="20"/>
      </w:pPr>
    </w:p>
    <w:p>
      <w:pPr>
        <w:pStyle w:val="Heading2"/>
        <w:keepNext/>
        <w:keepLines/>
      </w:pPr>
      <w:r>
        <w:t>Mapa simplificado</w:t>
      </w:r>
    </w:p>
    <w:tbl>
      <w:tblPr>
        <w:tblStyle w:val="TableGrid"/>
        <w:tblW w:type="dxa" w:w="9360"/>
        <w:jc w:val="left"/>
        <w:tblLayout w:type="fixed"/>
        <w:tblLook w:firstColumn="1" w:firstRow="1" w:lastColumn="0" w:lastRow="0" w:noHBand="0" w:noVBand="1" w:val="04A0"/>
        <w:tblInd w:type="dxa" w:w="120"/>
      </w:tblPr>
      <w:tblGrid>
        <w:gridCol w:w="1900"/>
        <w:gridCol w:w="5560"/>
        <w:gridCol w:w="1900"/>
      </w:tblGrid>
      <w:tr>
        <w:trPr>
          <w:tblHeader w:val="true"/>
        </w:trPr>
        <w:tc>
          <w:tcPr>
            <w:tcW w:type="dxa" w:w="1900"/>
            <w:shd w:fill="17365D"/>
            <w:vAlign w:val="center"/>
            <w:tcMar>
              <w:top w:w="90" w:type="dxa"/>
              <w:bottom w:w="90" w:type="dxa"/>
              <w:start w:w="120" w:type="dxa"/>
              <w:end w:w="120" w:type="dxa"/>
            </w:tcMar>
          </w:tcPr>
          <w:p>
            <w:pPr>
              <w:spacing w:after="0"/>
              <w:jc w:val="left"/>
            </w:pPr>
            <w:r>
              <w:rPr>
                <w:rFonts w:ascii="Calibri" w:hAnsi="Calibri"/>
                <w:b/>
                <w:color w:val="FFFFFF"/>
                <w:sz w:val="17"/>
              </w:rPr>
              <w:t>Componente</w:t>
            </w:r>
          </w:p>
        </w:tc>
        <w:tc>
          <w:tcPr>
            <w:tcW w:type="dxa" w:w="5560"/>
            <w:shd w:fill="17365D"/>
            <w:vAlign w:val="center"/>
            <w:tcMar>
              <w:top w:w="90" w:type="dxa"/>
              <w:bottom w:w="90" w:type="dxa"/>
              <w:start w:w="120" w:type="dxa"/>
              <w:end w:w="120" w:type="dxa"/>
            </w:tcMar>
          </w:tcPr>
          <w:p>
            <w:pPr>
              <w:spacing w:after="0"/>
              <w:jc w:val="left"/>
            </w:pPr>
            <w:r>
              <w:rPr>
                <w:rFonts w:ascii="Calibri" w:hAnsi="Calibri"/>
                <w:b/>
                <w:color w:val="FFFFFF"/>
                <w:sz w:val="17"/>
              </w:rPr>
              <w:t>Función considerada</w:t>
            </w:r>
          </w:p>
        </w:tc>
        <w:tc>
          <w:tcPr>
            <w:tcW w:type="dxa" w:w="1900"/>
            <w:shd w:fill="17365D"/>
            <w:vAlign w:val="center"/>
            <w:tcMar>
              <w:top w:w="90" w:type="dxa"/>
              <w:bottom w:w="90" w:type="dxa"/>
              <w:start w:w="120" w:type="dxa"/>
              <w:end w:w="120" w:type="dxa"/>
            </w:tcMar>
          </w:tcPr>
          <w:p>
            <w:pPr>
              <w:spacing w:after="0"/>
              <w:jc w:val="left"/>
            </w:pPr>
            <w:r>
              <w:rPr>
                <w:rFonts w:ascii="Calibri" w:hAnsi="Calibri"/>
                <w:b/>
                <w:color w:val="FFFFFF"/>
                <w:sz w:val="17"/>
              </w:rPr>
              <w:t>Rol</w:t>
            </w:r>
          </w:p>
        </w:tc>
      </w:tr>
      <w:tr>
        <w:trPr/>
        <w:tc>
          <w:tcPr>
            <w:tcW w:type="dxa" w:w="1900"/>
            <w:vAlign w:val="center"/>
            <w:tcMar>
              <w:top w:w="90" w:type="dxa"/>
              <w:bottom w:w="90" w:type="dxa"/>
              <w:start w:w="120" w:type="dxa"/>
              <w:end w:w="120" w:type="dxa"/>
            </w:tcMar>
          </w:tcPr>
          <w:p>
            <w:pPr>
              <w:spacing w:after="0" w:line="247" w:lineRule="auto"/>
            </w:pPr>
            <w:r>
              <w:rPr>
                <w:rFonts w:ascii="Calibri" w:hAnsi="Calibri"/>
                <w:b/>
                <w:color w:val="1F2937"/>
                <w:sz w:val="17"/>
              </w:rPr>
              <w:t>VTEX</w:t>
            </w:r>
          </w:p>
        </w:tc>
        <w:tc>
          <w:tcPr>
            <w:tcW w:type="dxa" w:w="5560"/>
            <w:vAlign w:val="center"/>
            <w:tcMar>
              <w:top w:w="90" w:type="dxa"/>
              <w:bottom w:w="90" w:type="dxa"/>
              <w:start w:w="120" w:type="dxa"/>
              <w:end w:w="120" w:type="dxa"/>
            </w:tcMar>
          </w:tcPr>
          <w:p>
            <w:pPr>
              <w:spacing w:after="0" w:line="247" w:lineRule="auto"/>
            </w:pPr>
            <w:r>
              <w:rPr>
                <w:rFonts w:ascii="Calibri" w:hAnsi="Calibri"/>
                <w:b w:val="0"/>
                <w:color w:val="1F2937"/>
                <w:sz w:val="17"/>
              </w:rPr>
              <w:t>Tienda, catálogo operativo, promociones, checkout, pedidos y extensiones VTEX IO</w:t>
            </w:r>
          </w:p>
        </w:tc>
        <w:tc>
          <w:tcPr>
            <w:tcW w:type="dxa" w:w="1900"/>
            <w:vAlign w:val="center"/>
            <w:tcMar>
              <w:top w:w="90" w:type="dxa"/>
              <w:bottom w:w="90" w:type="dxa"/>
              <w:start w:w="120" w:type="dxa"/>
              <w:end w:w="120" w:type="dxa"/>
            </w:tcMar>
          </w:tcPr>
          <w:p>
            <w:pPr>
              <w:spacing w:after="0" w:line="247" w:lineRule="auto"/>
            </w:pPr>
            <w:r>
              <w:rPr>
                <w:rFonts w:ascii="Calibri" w:hAnsi="Calibri"/>
                <w:b w:val="0"/>
                <w:color w:val="1F2937"/>
                <w:sz w:val="17"/>
              </w:rPr>
              <w:t>Plataforma central</w:t>
            </w:r>
          </w:p>
        </w:tc>
      </w:tr>
      <w:tr>
        <w:trPr/>
        <w:tc>
          <w:tcPr>
            <w:tcW w:type="dxa" w:w="1900"/>
            <w:vAlign w:val="center"/>
            <w:shd w:fill="F8FAFC"/>
            <w:tcMar>
              <w:top w:w="90" w:type="dxa"/>
              <w:bottom w:w="90" w:type="dxa"/>
              <w:start w:w="120" w:type="dxa"/>
              <w:end w:w="120" w:type="dxa"/>
            </w:tcMar>
          </w:tcPr>
          <w:p>
            <w:pPr>
              <w:spacing w:after="0" w:line="247" w:lineRule="auto"/>
            </w:pPr>
            <w:r>
              <w:rPr>
                <w:rFonts w:ascii="Calibri" w:hAnsi="Calibri"/>
                <w:b/>
                <w:color w:val="1F2937"/>
                <w:sz w:val="17"/>
              </w:rPr>
              <w:t>Producteca</w:t>
            </w:r>
          </w:p>
        </w:tc>
        <w:tc>
          <w:tcPr>
            <w:tcW w:type="dxa" w:w="5560"/>
            <w:vAlign w:val="center"/>
            <w:shd w:fill="F8FAFC"/>
            <w:tcMar>
              <w:top w:w="90" w:type="dxa"/>
              <w:bottom w:w="90" w:type="dxa"/>
              <w:start w:w="120" w:type="dxa"/>
              <w:end w:w="120" w:type="dxa"/>
            </w:tcMar>
          </w:tcPr>
          <w:p>
            <w:pPr>
              <w:spacing w:after="0" w:line="247" w:lineRule="auto"/>
            </w:pPr>
            <w:r>
              <w:rPr>
                <w:rFonts w:ascii="Calibri" w:hAnsi="Calibri"/>
                <w:b w:val="0"/>
                <w:color w:val="1F2937"/>
                <w:sz w:val="17"/>
              </w:rPr>
              <w:t>Sincronización multicanal de catálogo, stock, precios y pedidos</w:t>
            </w:r>
          </w:p>
        </w:tc>
        <w:tc>
          <w:tcPr>
            <w:tcW w:type="dxa" w:w="1900"/>
            <w:vAlign w:val="center"/>
            <w:shd w:fill="F8FAFC"/>
            <w:tcMar>
              <w:top w:w="90" w:type="dxa"/>
              <w:bottom w:w="90" w:type="dxa"/>
              <w:start w:w="120" w:type="dxa"/>
              <w:end w:w="120" w:type="dxa"/>
            </w:tcMar>
          </w:tcPr>
          <w:p>
            <w:pPr>
              <w:spacing w:after="0" w:line="247" w:lineRule="auto"/>
            </w:pPr>
            <w:r>
              <w:rPr>
                <w:rFonts w:ascii="Calibri" w:hAnsi="Calibri"/>
                <w:b w:val="0"/>
                <w:color w:val="1F2937"/>
                <w:sz w:val="17"/>
              </w:rPr>
              <w:t>Capa crítica de integración</w:t>
            </w:r>
          </w:p>
        </w:tc>
      </w:tr>
      <w:tr>
        <w:trPr/>
        <w:tc>
          <w:tcPr>
            <w:tcW w:type="dxa" w:w="1900"/>
            <w:vAlign w:val="center"/>
            <w:tcMar>
              <w:top w:w="90" w:type="dxa"/>
              <w:bottom w:w="90" w:type="dxa"/>
              <w:start w:w="120" w:type="dxa"/>
              <w:end w:w="120" w:type="dxa"/>
            </w:tcMar>
          </w:tcPr>
          <w:p>
            <w:pPr>
              <w:spacing w:after="0" w:line="247" w:lineRule="auto"/>
            </w:pPr>
            <w:r>
              <w:rPr>
                <w:rFonts w:ascii="Calibri" w:hAnsi="Calibri"/>
                <w:b/>
                <w:color w:val="1F2937"/>
                <w:sz w:val="17"/>
              </w:rPr>
              <w:t>Pirce</w:t>
            </w:r>
          </w:p>
        </w:tc>
        <w:tc>
          <w:tcPr>
            <w:tcW w:type="dxa" w:w="5560"/>
            <w:vAlign w:val="center"/>
            <w:tcMar>
              <w:top w:w="90" w:type="dxa"/>
              <w:bottom w:w="90" w:type="dxa"/>
              <w:start w:w="120" w:type="dxa"/>
              <w:end w:w="120" w:type="dxa"/>
            </w:tcMar>
          </w:tcPr>
          <w:p>
            <w:pPr>
              <w:spacing w:after="0" w:line="247" w:lineRule="auto"/>
            </w:pPr>
            <w:r>
              <w:rPr>
                <w:rFonts w:ascii="Calibri" w:hAnsi="Calibri"/>
                <w:b w:val="0"/>
                <w:color w:val="1F2937"/>
                <w:sz w:val="17"/>
              </w:rPr>
              <w:t>Implementación, soporte o integración según contrato vigente</w:t>
            </w:r>
          </w:p>
        </w:tc>
        <w:tc>
          <w:tcPr>
            <w:tcW w:type="dxa" w:w="1900"/>
            <w:vAlign w:val="center"/>
            <w:tcMar>
              <w:top w:w="90" w:type="dxa"/>
              <w:bottom w:w="90" w:type="dxa"/>
              <w:start w:w="120" w:type="dxa"/>
              <w:end w:w="120" w:type="dxa"/>
            </w:tcMar>
          </w:tcPr>
          <w:p>
            <w:pPr>
              <w:spacing w:after="0" w:line="247" w:lineRule="auto"/>
            </w:pPr>
            <w:r>
              <w:rPr>
                <w:rFonts w:ascii="Calibri" w:hAnsi="Calibri"/>
                <w:b w:val="0"/>
                <w:color w:val="1F2937"/>
                <w:sz w:val="17"/>
              </w:rPr>
              <w:t>Responsabilidad a confirmar</w:t>
            </w:r>
          </w:p>
        </w:tc>
      </w:tr>
      <w:tr>
        <w:trPr/>
        <w:tc>
          <w:tcPr>
            <w:tcW w:type="dxa" w:w="1900"/>
            <w:vAlign w:val="center"/>
            <w:shd w:fill="F8FAFC"/>
            <w:tcMar>
              <w:top w:w="90" w:type="dxa"/>
              <w:bottom w:w="90" w:type="dxa"/>
              <w:start w:w="120" w:type="dxa"/>
              <w:end w:w="120" w:type="dxa"/>
            </w:tcMar>
          </w:tcPr>
          <w:p>
            <w:pPr>
              <w:spacing w:after="0" w:line="247" w:lineRule="auto"/>
            </w:pPr>
            <w:r>
              <w:rPr>
                <w:rFonts w:ascii="Calibri" w:hAnsi="Calibri"/>
                <w:b/>
                <w:color w:val="1F2937"/>
                <w:sz w:val="17"/>
              </w:rPr>
              <w:t>Mercado Libre y otros</w:t>
            </w:r>
          </w:p>
        </w:tc>
        <w:tc>
          <w:tcPr>
            <w:tcW w:type="dxa" w:w="5560"/>
            <w:vAlign w:val="center"/>
            <w:shd w:fill="F8FAFC"/>
            <w:tcMar>
              <w:top w:w="90" w:type="dxa"/>
              <w:bottom w:w="90" w:type="dxa"/>
              <w:start w:w="120" w:type="dxa"/>
              <w:end w:w="120" w:type="dxa"/>
            </w:tcMar>
          </w:tcPr>
          <w:p>
            <w:pPr>
              <w:spacing w:after="0" w:line="247" w:lineRule="auto"/>
            </w:pPr>
            <w:r>
              <w:rPr>
                <w:rFonts w:ascii="Calibri" w:hAnsi="Calibri"/>
                <w:b w:val="0"/>
                <w:color w:val="1F2937"/>
                <w:sz w:val="17"/>
              </w:rPr>
              <w:t>Canales externos que consumen catálogo/stock/precio y generan ventas</w:t>
            </w:r>
          </w:p>
        </w:tc>
        <w:tc>
          <w:tcPr>
            <w:tcW w:type="dxa" w:w="1900"/>
            <w:vAlign w:val="center"/>
            <w:shd w:fill="F8FAFC"/>
            <w:tcMar>
              <w:top w:w="90" w:type="dxa"/>
              <w:bottom w:w="90" w:type="dxa"/>
              <w:start w:w="120" w:type="dxa"/>
              <w:end w:w="120" w:type="dxa"/>
            </w:tcMar>
          </w:tcPr>
          <w:p>
            <w:pPr>
              <w:spacing w:after="0" w:line="247" w:lineRule="auto"/>
            </w:pPr>
            <w:r>
              <w:rPr>
                <w:rFonts w:ascii="Calibri" w:hAnsi="Calibri"/>
                <w:b w:val="0"/>
                <w:color w:val="1F2937"/>
                <w:sz w:val="17"/>
              </w:rPr>
              <w:t>Canales comerciales</w:t>
            </w:r>
          </w:p>
        </w:tc>
      </w:tr>
    </w:tbl>
    <w:p>
      <w:pPr>
        <w:keepLines/>
        <w:spacing w:after="40"/>
      </w:pPr>
    </w:p>
    <w:tbl>
      <w:tblPr>
        <w:tblW w:type="dxa" w:w="9360"/>
        <w:jc w:val="left"/>
        <w:tblLayout w:type="fixed"/>
        <w:tblLook w:firstColumn="1" w:firstRow="1" w:lastColumn="0" w:lastRow="0" w:noHBand="0" w:noVBand="1" w:val="04A0"/>
        <w:tblInd w:type="dxa" w:w="180"/>
      </w:tblPr>
      <w:tblGrid>
        <w:gridCol w:w="9360"/>
      </w:tblGrid>
      <w:tr>
        <w:trPr>
          <w:tblHeader w:val="true"/>
        </w:trPr>
        <w:tc>
          <w:tcPr>
            <w:tcW w:type="dxa" w:w="9360"/>
            <w:shd w:fill="EAF2F8"/>
            <w:tcBorders>
              <w:top w:val="nil"/>
              <w:left w:val="single" w:sz="26" w:space="0" w:color="2E74B5"/>
              <w:bottom w:val="nil"/>
              <w:right w:val="nil"/>
            </w:tcBorders>
            <w:tcMar>
              <w:top w:w="130" w:type="dxa"/>
              <w:bottom w:w="130" w:type="dxa"/>
              <w:start w:w="180" w:type="dxa"/>
              <w:end w:w="180" w:type="dxa"/>
            </w:tcMar>
          </w:tcPr>
          <w:p>
            <w:pPr>
              <w:spacing w:after="40"/>
            </w:pPr>
            <w:r>
              <w:rPr>
                <w:rFonts w:ascii="Calibri" w:hAnsi="Calibri"/>
                <w:b/>
                <w:color w:val="2E74B5"/>
                <w:sz w:val="18"/>
              </w:rPr>
              <w:t>PRINCIPIO DE ARQUITECTURA</w:t>
            </w:r>
          </w:p>
          <w:p>
            <w:pPr>
              <w:spacing w:after="20" w:line="259" w:lineRule="auto"/>
            </w:pPr>
            <w:r>
              <w:rPr>
                <w:rFonts w:ascii="Calibri" w:hAnsi="Calibri"/>
                <w:b/>
                <w:color w:val="1F2937"/>
                <w:sz w:val="21"/>
              </w:rPr>
              <w:t>Cada salto adicional entre sistemas agrega puntos de falla, conciliaciones y dependencia de terceros. La decisión no es solo VTEX vs. Tiendanube: es qué combinación completa tiene un dueño claro para cada dato y cada incidente.</w:t>
            </w:r>
          </w:p>
        </w:tc>
      </w:tr>
    </w:tbl>
    <w:p>
      <w:pPr>
        <w:keepLines/>
        <w:spacing w:after="20"/>
      </w:pPr>
    </w:p>
    <w:p>
      <w:pPr>
        <w:pStyle w:val="Heading2"/>
        <w:keepNext/>
        <w:keepLines/>
      </w:pPr>
      <w:r>
        <w:t>Supuestos y límites</w:t>
      </w:r>
    </w:p>
    <w:p>
      <w:pPr>
        <w:pStyle w:val="ListBullet"/>
        <w:keepLines/>
        <w:ind w:left="720" w:hanging="360"/>
      </w:pPr>
      <w:r>
        <w:rPr>
          <w:rFonts w:ascii="Calibri" w:hAnsi="Calibri"/>
          <w:color w:val="1F2937"/>
        </w:rPr>
        <w:t>El análisis es ejecutivo y no reemplaza una cotización vinculante ni un relevamiento funcional detallado.</w:t>
      </w:r>
    </w:p>
    <w:p>
      <w:pPr>
        <w:pStyle w:val="ListBullet"/>
        <w:keepLines/>
        <w:ind w:left="720" w:hanging="360"/>
      </w:pPr>
      <w:r>
        <w:rPr>
          <w:rFonts w:ascii="Calibri" w:hAnsi="Calibri"/>
          <w:color w:val="1F2937"/>
        </w:rPr>
        <w:t>No se encontraron referencias públicas inequívocas sobre Pirce; se evita atribuirle funciones no confirmadas.</w:t>
      </w:r>
    </w:p>
    <w:p>
      <w:pPr>
        <w:pStyle w:val="ListBullet"/>
        <w:keepLines/>
        <w:ind w:left="720" w:hanging="360"/>
      </w:pPr>
      <w:r>
        <w:rPr>
          <w:rFonts w:ascii="Calibri" w:hAnsi="Calibri"/>
          <w:color w:val="1F2937"/>
        </w:rPr>
        <w:t>Los precios publicados cambian —especialmente en Argentina— y deben revalidarse al contratar.</w:t>
      </w:r>
    </w:p>
    <w:p>
      <w:pPr>
        <w:pStyle w:val="ListBullet"/>
        <w:keepLines/>
        <w:ind w:left="720" w:hanging="360"/>
      </w:pPr>
      <w:r>
        <w:rPr>
          <w:rFonts w:ascii="Calibri" w:hAnsi="Calibri"/>
          <w:color w:val="1F2937"/>
        </w:rPr>
        <w:t>No se dispone aún del GMV, cantidad de pedidos, SKU activos, centros de stock, fee de cada proveedor ni horas mensuales de soporte.</w:t>
      </w:r>
    </w:p>
    <w:p>
      <w:pPr>
        <w:pStyle w:val="Heading1"/>
        <w:keepNext/>
        <w:keepLines/>
      </w:pPr>
      <w:r>
        <w:t>2. Comparación de plataformas</w:t>
      </w:r>
    </w:p>
    <w:p>
      <w:pPr>
        <w:spacing w:after="120"/>
      </w:pPr>
      <w:r>
        <w:rPr>
          <w:rFonts w:ascii="Calibri" w:hAnsi="Calibri"/>
          <w:i w:val="0"/>
          <w:color w:val="1F2937"/>
        </w:rPr>
        <w:t>La comparación debe partir del nivel de complejidad que realmente necesita el negocio. VTEX está orientada a operaciones de comercio unificado, extensibles y de mayor escala; Tiendanube prioriza rapidez de implementación, autogestión y un ecosistema de aplicaciones para resolver necesidades frecuentes.</w:t>
      </w:r>
    </w:p>
    <w:tbl>
      <w:tblPr>
        <w:tblStyle w:val="TableGrid"/>
        <w:tblW w:type="dxa" w:w="9360"/>
        <w:jc w:val="left"/>
        <w:tblLayout w:type="fixed"/>
        <w:tblLook w:firstColumn="1" w:firstRow="1" w:lastColumn="0" w:lastRow="0" w:noHBand="0" w:noVBand="1" w:val="04A0"/>
        <w:tblInd w:type="dxa" w:w="120"/>
      </w:tblPr>
      <w:tblGrid>
        <w:gridCol w:w="1750"/>
        <w:gridCol w:w="3805"/>
        <w:gridCol w:w="3805"/>
      </w:tblGrid>
      <w:tr>
        <w:trPr>
          <w:tblHeader w:val="true"/>
        </w:trPr>
        <w:tc>
          <w:tcPr>
            <w:tcW w:type="dxa" w:w="1750"/>
            <w:shd w:fill="17365D"/>
            <w:vAlign w:val="center"/>
            <w:tcMar>
              <w:top w:w="90" w:type="dxa"/>
              <w:bottom w:w="90" w:type="dxa"/>
              <w:start w:w="120" w:type="dxa"/>
              <w:end w:w="120" w:type="dxa"/>
            </w:tcMar>
          </w:tcPr>
          <w:p>
            <w:pPr>
              <w:spacing w:after="0"/>
              <w:jc w:val="left"/>
            </w:pPr>
            <w:r>
              <w:rPr>
                <w:rFonts w:ascii="Calibri" w:hAnsi="Calibri"/>
                <w:b/>
                <w:color w:val="FFFFFF"/>
                <w:sz w:val="17"/>
              </w:rPr>
              <w:t>Criterio</w:t>
            </w:r>
          </w:p>
        </w:tc>
        <w:tc>
          <w:tcPr>
            <w:tcW w:type="dxa" w:w="3805"/>
            <w:shd w:fill="17365D"/>
            <w:vAlign w:val="center"/>
            <w:tcMar>
              <w:top w:w="90" w:type="dxa"/>
              <w:bottom w:w="90" w:type="dxa"/>
              <w:start w:w="120" w:type="dxa"/>
              <w:end w:w="120" w:type="dxa"/>
            </w:tcMar>
          </w:tcPr>
          <w:p>
            <w:pPr>
              <w:spacing w:after="0"/>
              <w:jc w:val="left"/>
            </w:pPr>
            <w:r>
              <w:rPr>
                <w:rFonts w:ascii="Calibri" w:hAnsi="Calibri"/>
                <w:b/>
                <w:color w:val="FFFFFF"/>
                <w:sz w:val="17"/>
              </w:rPr>
              <w:t>VTEX</w:t>
            </w:r>
          </w:p>
        </w:tc>
        <w:tc>
          <w:tcPr>
            <w:tcW w:type="dxa" w:w="3805"/>
            <w:shd w:fill="17365D"/>
            <w:vAlign w:val="center"/>
            <w:tcMar>
              <w:top w:w="90" w:type="dxa"/>
              <w:bottom w:w="90" w:type="dxa"/>
              <w:start w:w="120" w:type="dxa"/>
              <w:end w:w="120" w:type="dxa"/>
            </w:tcMar>
          </w:tcPr>
          <w:p>
            <w:pPr>
              <w:spacing w:after="0"/>
              <w:jc w:val="left"/>
            </w:pPr>
            <w:r>
              <w:rPr>
                <w:rFonts w:ascii="Calibri" w:hAnsi="Calibri"/>
                <w:b/>
                <w:color w:val="FFFFFF"/>
                <w:sz w:val="17"/>
              </w:rPr>
              <w:t>Tiendanube</w:t>
            </w:r>
          </w:p>
        </w:tc>
      </w:tr>
      <w:tr>
        <w:trPr/>
        <w:tc>
          <w:tcPr>
            <w:tcW w:type="dxa" w:w="1750"/>
            <w:vAlign w:val="center"/>
            <w:tcMar>
              <w:top w:w="90" w:type="dxa"/>
              <w:bottom w:w="90" w:type="dxa"/>
              <w:start w:w="120" w:type="dxa"/>
              <w:end w:w="120" w:type="dxa"/>
            </w:tcMar>
          </w:tcPr>
          <w:p>
            <w:pPr>
              <w:spacing w:after="0" w:line="247" w:lineRule="auto"/>
            </w:pPr>
            <w:r>
              <w:rPr>
                <w:rFonts w:ascii="Calibri" w:hAnsi="Calibri"/>
                <w:b/>
                <w:color w:val="1F2937"/>
                <w:sz w:val="16"/>
              </w:rPr>
              <w:t>Implementación</w:t>
            </w:r>
          </w:p>
        </w:tc>
        <w:tc>
          <w:tcPr>
            <w:tcW w:type="dxa" w:w="3805"/>
            <w:vAlign w:val="center"/>
            <w:tcMar>
              <w:top w:w="90" w:type="dxa"/>
              <w:bottom w:w="90" w:type="dxa"/>
              <w:start w:w="120" w:type="dxa"/>
              <w:end w:w="120" w:type="dxa"/>
            </w:tcMar>
          </w:tcPr>
          <w:p>
            <w:pPr>
              <w:spacing w:after="0" w:line="247" w:lineRule="auto"/>
            </w:pPr>
            <w:r>
              <w:rPr>
                <w:rFonts w:ascii="Calibri" w:hAnsi="Calibri"/>
                <w:b w:val="0"/>
                <w:color w:val="1F2937"/>
                <w:sz w:val="16"/>
              </w:rPr>
              <w:t>Mayor esfuerzo inicial y necesidad de especialistas</w:t>
            </w:r>
          </w:p>
        </w:tc>
        <w:tc>
          <w:tcPr>
            <w:tcW w:type="dxa" w:w="3805"/>
            <w:vAlign w:val="center"/>
            <w:tcMar>
              <w:top w:w="90" w:type="dxa"/>
              <w:bottom w:w="90" w:type="dxa"/>
              <w:start w:w="120" w:type="dxa"/>
              <w:end w:w="120" w:type="dxa"/>
            </w:tcMar>
          </w:tcPr>
          <w:p>
            <w:pPr>
              <w:spacing w:after="0" w:line="247" w:lineRule="auto"/>
            </w:pPr>
            <w:r>
              <w:rPr>
                <w:rFonts w:ascii="Calibri" w:hAnsi="Calibri"/>
                <w:b w:val="0"/>
                <w:color w:val="1F2937"/>
                <w:sz w:val="16"/>
              </w:rPr>
              <w:t>Más rápida y accesible para equipos no técnicos</w:t>
            </w:r>
          </w:p>
        </w:tc>
      </w:tr>
      <w:tr>
        <w:trPr/>
        <w:tc>
          <w:tcPr>
            <w:tcW w:type="dxa" w:w="1750"/>
            <w:vAlign w:val="center"/>
            <w:shd w:fill="F8FAFC"/>
            <w:tcMar>
              <w:top w:w="90" w:type="dxa"/>
              <w:bottom w:w="90" w:type="dxa"/>
              <w:start w:w="120" w:type="dxa"/>
              <w:end w:w="120" w:type="dxa"/>
            </w:tcMar>
          </w:tcPr>
          <w:p>
            <w:pPr>
              <w:spacing w:after="0" w:line="247" w:lineRule="auto"/>
            </w:pPr>
            <w:r>
              <w:rPr>
                <w:rFonts w:ascii="Calibri" w:hAnsi="Calibri"/>
                <w:b/>
                <w:color w:val="1F2937"/>
                <w:sz w:val="16"/>
              </w:rPr>
              <w:t>Costo</w:t>
            </w:r>
          </w:p>
        </w:tc>
        <w:tc>
          <w:tcPr>
            <w:tcW w:type="dxa" w:w="3805"/>
            <w:vAlign w:val="center"/>
            <w:shd w:fill="F8FAFC"/>
            <w:tcMar>
              <w:top w:w="90" w:type="dxa"/>
              <w:bottom w:w="90" w:type="dxa"/>
              <w:start w:w="120" w:type="dxa"/>
              <w:end w:w="120" w:type="dxa"/>
            </w:tcMar>
          </w:tcPr>
          <w:p>
            <w:pPr>
              <w:spacing w:after="0" w:line="247" w:lineRule="auto"/>
            </w:pPr>
            <w:r>
              <w:rPr>
                <w:rFonts w:ascii="Calibri" w:hAnsi="Calibri"/>
                <w:b w:val="0"/>
                <w:color w:val="1F2937"/>
                <w:sz w:val="16"/>
              </w:rPr>
              <w:t>Contrato y servicios a medida; requiere sumar Producteca, Pirce y mantenimiento</w:t>
            </w:r>
          </w:p>
        </w:tc>
        <w:tc>
          <w:tcPr>
            <w:tcW w:type="dxa" w:w="3805"/>
            <w:vAlign w:val="center"/>
            <w:shd w:fill="F8FAFC"/>
            <w:tcMar>
              <w:top w:w="90" w:type="dxa"/>
              <w:bottom w:w="90" w:type="dxa"/>
              <w:start w:w="120" w:type="dxa"/>
              <w:end w:w="120" w:type="dxa"/>
            </w:tcMar>
          </w:tcPr>
          <w:p>
            <w:pPr>
              <w:spacing w:after="0" w:line="247" w:lineRule="auto"/>
            </w:pPr>
            <w:r>
              <w:rPr>
                <w:rFonts w:ascii="Calibri" w:hAnsi="Calibri"/>
                <w:b w:val="0"/>
                <w:color w:val="1F2937"/>
                <w:sz w:val="16"/>
              </w:rPr>
              <w:t>Planes públicos en ARS, más apps y posibles comisiones por transacción</w:t>
            </w:r>
          </w:p>
        </w:tc>
      </w:tr>
      <w:tr>
        <w:trPr/>
        <w:tc>
          <w:tcPr>
            <w:tcW w:type="dxa" w:w="1750"/>
            <w:vAlign w:val="center"/>
            <w:tcMar>
              <w:top w:w="90" w:type="dxa"/>
              <w:bottom w:w="90" w:type="dxa"/>
              <w:start w:w="120" w:type="dxa"/>
              <w:end w:w="120" w:type="dxa"/>
            </w:tcMar>
          </w:tcPr>
          <w:p>
            <w:pPr>
              <w:spacing w:after="0" w:line="247" w:lineRule="auto"/>
            </w:pPr>
            <w:r>
              <w:rPr>
                <w:rFonts w:ascii="Calibri" w:hAnsi="Calibri"/>
                <w:b/>
                <w:color w:val="1F2937"/>
                <w:sz w:val="16"/>
              </w:rPr>
              <w:t>Escala y complejidad</w:t>
            </w:r>
          </w:p>
        </w:tc>
        <w:tc>
          <w:tcPr>
            <w:tcW w:type="dxa" w:w="3805"/>
            <w:vAlign w:val="center"/>
            <w:tcMar>
              <w:top w:w="90" w:type="dxa"/>
              <w:bottom w:w="90" w:type="dxa"/>
              <w:start w:w="120" w:type="dxa"/>
              <w:end w:w="120" w:type="dxa"/>
            </w:tcMar>
          </w:tcPr>
          <w:p>
            <w:pPr>
              <w:spacing w:after="0" w:line="247" w:lineRule="auto"/>
            </w:pPr>
            <w:r>
              <w:rPr>
                <w:rFonts w:ascii="Calibri" w:hAnsi="Calibri"/>
                <w:b w:val="0"/>
                <w:color w:val="1F2937"/>
                <w:sz w:val="16"/>
              </w:rPr>
              <w:t>Fuerte para múltiples canales, inventarios, reglas, OMS y extensiones</w:t>
            </w:r>
          </w:p>
        </w:tc>
        <w:tc>
          <w:tcPr>
            <w:tcW w:type="dxa" w:w="3805"/>
            <w:vAlign w:val="center"/>
            <w:tcMar>
              <w:top w:w="90" w:type="dxa"/>
              <w:bottom w:w="90" w:type="dxa"/>
              <w:start w:w="120" w:type="dxa"/>
              <w:end w:w="120" w:type="dxa"/>
            </w:tcMar>
          </w:tcPr>
          <w:p>
            <w:pPr>
              <w:spacing w:after="0" w:line="247" w:lineRule="auto"/>
            </w:pPr>
            <w:r>
              <w:rPr>
                <w:rFonts w:ascii="Calibri" w:hAnsi="Calibri"/>
                <w:b w:val="0"/>
                <w:color w:val="1F2937"/>
                <w:sz w:val="16"/>
              </w:rPr>
              <w:t>Adecuada para operación estándar; Evolución cubre casos de mayor tamaño</w:t>
            </w:r>
          </w:p>
        </w:tc>
      </w:tr>
      <w:tr>
        <w:trPr/>
        <w:tc>
          <w:tcPr>
            <w:tcW w:type="dxa" w:w="1750"/>
            <w:vAlign w:val="center"/>
            <w:shd w:fill="F8FAFC"/>
            <w:tcMar>
              <w:top w:w="90" w:type="dxa"/>
              <w:bottom w:w="90" w:type="dxa"/>
              <w:start w:w="120" w:type="dxa"/>
              <w:end w:w="120" w:type="dxa"/>
            </w:tcMar>
          </w:tcPr>
          <w:p>
            <w:pPr>
              <w:spacing w:after="0" w:line="247" w:lineRule="auto"/>
            </w:pPr>
            <w:r>
              <w:rPr>
                <w:rFonts w:ascii="Calibri" w:hAnsi="Calibri"/>
                <w:b/>
                <w:color w:val="1F2937"/>
                <w:sz w:val="16"/>
              </w:rPr>
              <w:t>Personalización</w:t>
            </w:r>
          </w:p>
        </w:tc>
        <w:tc>
          <w:tcPr>
            <w:tcW w:type="dxa" w:w="3805"/>
            <w:vAlign w:val="center"/>
            <w:shd w:fill="F8FAFC"/>
            <w:tcMar>
              <w:top w:w="90" w:type="dxa"/>
              <w:bottom w:w="90" w:type="dxa"/>
              <w:start w:w="120" w:type="dxa"/>
              <w:end w:w="120" w:type="dxa"/>
            </w:tcMar>
          </w:tcPr>
          <w:p>
            <w:pPr>
              <w:spacing w:after="0" w:line="247" w:lineRule="auto"/>
            </w:pPr>
            <w:r>
              <w:rPr>
                <w:rFonts w:ascii="Calibri" w:hAnsi="Calibri"/>
                <w:b w:val="0"/>
                <w:color w:val="1F2937"/>
                <w:sz w:val="16"/>
              </w:rPr>
              <w:t>Alta: VTEX IO, APIs, headless y arquitectura composable</w:t>
            </w:r>
          </w:p>
        </w:tc>
        <w:tc>
          <w:tcPr>
            <w:tcW w:type="dxa" w:w="3805"/>
            <w:vAlign w:val="center"/>
            <w:shd w:fill="F8FAFC"/>
            <w:tcMar>
              <w:top w:w="90" w:type="dxa"/>
              <w:bottom w:w="90" w:type="dxa"/>
              <w:start w:w="120" w:type="dxa"/>
              <w:end w:w="120" w:type="dxa"/>
            </w:tcMar>
          </w:tcPr>
          <w:p>
            <w:pPr>
              <w:spacing w:after="0" w:line="247" w:lineRule="auto"/>
            </w:pPr>
            <w:r>
              <w:rPr>
                <w:rFonts w:ascii="Calibri" w:hAnsi="Calibri"/>
                <w:b w:val="0"/>
                <w:color w:val="1F2937"/>
                <w:sz w:val="16"/>
              </w:rPr>
              <w:t>HTML/CSS/JS y aplicaciones; los límites dependen del plan y de las APIs</w:t>
            </w:r>
          </w:p>
        </w:tc>
      </w:tr>
      <w:tr>
        <w:trPr/>
        <w:tc>
          <w:tcPr>
            <w:tcW w:type="dxa" w:w="1750"/>
            <w:vAlign w:val="center"/>
            <w:tcMar>
              <w:top w:w="90" w:type="dxa"/>
              <w:bottom w:w="90" w:type="dxa"/>
              <w:start w:w="120" w:type="dxa"/>
              <w:end w:w="120" w:type="dxa"/>
            </w:tcMar>
          </w:tcPr>
          <w:p>
            <w:pPr>
              <w:spacing w:after="0" w:line="247" w:lineRule="auto"/>
            </w:pPr>
            <w:r>
              <w:rPr>
                <w:rFonts w:ascii="Calibri" w:hAnsi="Calibri"/>
                <w:b/>
                <w:color w:val="1F2937"/>
                <w:sz w:val="16"/>
              </w:rPr>
              <w:t>Operación diaria</w:t>
            </w:r>
          </w:p>
        </w:tc>
        <w:tc>
          <w:tcPr>
            <w:tcW w:type="dxa" w:w="3805"/>
            <w:vAlign w:val="center"/>
            <w:tcMar>
              <w:top w:w="90" w:type="dxa"/>
              <w:bottom w:w="90" w:type="dxa"/>
              <w:start w:w="120" w:type="dxa"/>
              <w:end w:w="120" w:type="dxa"/>
            </w:tcMar>
          </w:tcPr>
          <w:p>
            <w:pPr>
              <w:spacing w:after="0" w:line="247" w:lineRule="auto"/>
            </w:pPr>
            <w:r>
              <w:rPr>
                <w:rFonts w:ascii="Calibri" w:hAnsi="Calibri"/>
                <w:b w:val="0"/>
                <w:color w:val="1F2937"/>
                <w:sz w:val="16"/>
              </w:rPr>
              <w:t>Potente, pero con mayor curva de aprendizaje y gobernanza</w:t>
            </w:r>
          </w:p>
        </w:tc>
        <w:tc>
          <w:tcPr>
            <w:tcW w:type="dxa" w:w="3805"/>
            <w:vAlign w:val="center"/>
            <w:tcMar>
              <w:top w:w="90" w:type="dxa"/>
              <w:bottom w:w="90" w:type="dxa"/>
              <w:start w:w="120" w:type="dxa"/>
              <w:end w:w="120" w:type="dxa"/>
            </w:tcMar>
          </w:tcPr>
          <w:p>
            <w:pPr>
              <w:spacing w:after="0" w:line="247" w:lineRule="auto"/>
            </w:pPr>
            <w:r>
              <w:rPr>
                <w:rFonts w:ascii="Calibri" w:hAnsi="Calibri"/>
                <w:b w:val="0"/>
                <w:color w:val="1F2937"/>
                <w:sz w:val="16"/>
              </w:rPr>
              <w:t>Más simple de administrar y capacitar</w:t>
            </w:r>
          </w:p>
        </w:tc>
      </w:tr>
      <w:tr>
        <w:trPr/>
        <w:tc>
          <w:tcPr>
            <w:tcW w:type="dxa" w:w="1750"/>
            <w:vAlign w:val="center"/>
            <w:shd w:fill="F8FAFC"/>
            <w:tcMar>
              <w:top w:w="90" w:type="dxa"/>
              <w:bottom w:w="90" w:type="dxa"/>
              <w:start w:w="120" w:type="dxa"/>
              <w:end w:w="120" w:type="dxa"/>
            </w:tcMar>
          </w:tcPr>
          <w:p>
            <w:pPr>
              <w:spacing w:after="0" w:line="247" w:lineRule="auto"/>
            </w:pPr>
            <w:r>
              <w:rPr>
                <w:rFonts w:ascii="Calibri" w:hAnsi="Calibri"/>
                <w:b/>
                <w:color w:val="1F2937"/>
                <w:sz w:val="16"/>
              </w:rPr>
              <w:t>Marketplaces</w:t>
            </w:r>
          </w:p>
        </w:tc>
        <w:tc>
          <w:tcPr>
            <w:tcW w:type="dxa" w:w="3805"/>
            <w:vAlign w:val="center"/>
            <w:shd w:fill="F8FAFC"/>
            <w:tcMar>
              <w:top w:w="90" w:type="dxa"/>
              <w:bottom w:w="90" w:type="dxa"/>
              <w:start w:w="120" w:type="dxa"/>
              <w:end w:w="120" w:type="dxa"/>
            </w:tcMar>
          </w:tcPr>
          <w:p>
            <w:pPr>
              <w:spacing w:after="0" w:line="247" w:lineRule="auto"/>
            </w:pPr>
            <w:r>
              <w:rPr>
                <w:rFonts w:ascii="Calibri" w:hAnsi="Calibri"/>
                <w:b w:val="0"/>
                <w:color w:val="1F2937"/>
                <w:sz w:val="16"/>
              </w:rPr>
              <w:t>Capacidades e integraciones amplias; Producteca centraliza la operación actual</w:t>
            </w:r>
          </w:p>
        </w:tc>
        <w:tc>
          <w:tcPr>
            <w:tcW w:type="dxa" w:w="3805"/>
            <w:vAlign w:val="center"/>
            <w:shd w:fill="F8FAFC"/>
            <w:tcMar>
              <w:top w:w="90" w:type="dxa"/>
              <w:bottom w:w="90" w:type="dxa"/>
              <w:start w:w="120" w:type="dxa"/>
              <w:end w:w="120" w:type="dxa"/>
            </w:tcMar>
          </w:tcPr>
          <w:p>
            <w:pPr>
              <w:spacing w:after="0" w:line="247" w:lineRule="auto"/>
            </w:pPr>
            <w:r>
              <w:rPr>
                <w:rFonts w:ascii="Calibri" w:hAnsi="Calibri"/>
                <w:b w:val="0"/>
                <w:color w:val="1F2937"/>
                <w:sz w:val="16"/>
              </w:rPr>
              <w:t>Se apoya fuertemente en apps como Astroselling</w:t>
            </w:r>
          </w:p>
        </w:tc>
      </w:tr>
      <w:tr>
        <w:trPr/>
        <w:tc>
          <w:tcPr>
            <w:tcW w:type="dxa" w:w="1750"/>
            <w:vAlign w:val="center"/>
            <w:tcMar>
              <w:top w:w="90" w:type="dxa"/>
              <w:bottom w:w="90" w:type="dxa"/>
              <w:start w:w="120" w:type="dxa"/>
              <w:end w:w="120" w:type="dxa"/>
            </w:tcMar>
          </w:tcPr>
          <w:p>
            <w:pPr>
              <w:spacing w:after="0" w:line="247" w:lineRule="auto"/>
            </w:pPr>
            <w:r>
              <w:rPr>
                <w:rFonts w:ascii="Calibri" w:hAnsi="Calibri"/>
                <w:b/>
                <w:color w:val="1F2937"/>
                <w:sz w:val="16"/>
              </w:rPr>
              <w:t>Promociones/checkout</w:t>
            </w:r>
          </w:p>
        </w:tc>
        <w:tc>
          <w:tcPr>
            <w:tcW w:type="dxa" w:w="3805"/>
            <w:vAlign w:val="center"/>
            <w:tcMar>
              <w:top w:w="90" w:type="dxa"/>
              <w:bottom w:w="90" w:type="dxa"/>
              <w:start w:w="120" w:type="dxa"/>
              <w:end w:w="120" w:type="dxa"/>
            </w:tcMar>
          </w:tcPr>
          <w:p>
            <w:pPr>
              <w:spacing w:after="0" w:line="247" w:lineRule="auto"/>
            </w:pPr>
            <w:r>
              <w:rPr>
                <w:rFonts w:ascii="Calibri" w:hAnsi="Calibri"/>
                <w:b w:val="0"/>
                <w:color w:val="1F2937"/>
                <w:sz w:val="16"/>
              </w:rPr>
              <w:t>Mayor profundidad para reglas complejas y escenarios enterprise</w:t>
            </w:r>
          </w:p>
        </w:tc>
        <w:tc>
          <w:tcPr>
            <w:tcW w:type="dxa" w:w="3805"/>
            <w:vAlign w:val="center"/>
            <w:tcMar>
              <w:top w:w="90" w:type="dxa"/>
              <w:bottom w:w="90" w:type="dxa"/>
              <w:start w:w="120" w:type="dxa"/>
              <w:end w:w="120" w:type="dxa"/>
            </w:tcMar>
          </w:tcPr>
          <w:p>
            <w:pPr>
              <w:spacing w:after="0" w:line="247" w:lineRule="auto"/>
            </w:pPr>
            <w:r>
              <w:rPr>
                <w:rFonts w:ascii="Calibri" w:hAnsi="Calibri"/>
                <w:b w:val="0"/>
                <w:color w:val="1F2937"/>
                <w:sz w:val="16"/>
              </w:rPr>
              <w:t>Suficiente para promociones y checkout estándar; validar excepciones</w:t>
            </w:r>
          </w:p>
        </w:tc>
      </w:tr>
      <w:tr>
        <w:trPr/>
        <w:tc>
          <w:tcPr>
            <w:tcW w:type="dxa" w:w="1750"/>
            <w:vAlign w:val="center"/>
            <w:shd w:fill="F8FAFC"/>
            <w:tcMar>
              <w:top w:w="90" w:type="dxa"/>
              <w:bottom w:w="90" w:type="dxa"/>
              <w:start w:w="120" w:type="dxa"/>
              <w:end w:w="120" w:type="dxa"/>
            </w:tcMar>
          </w:tcPr>
          <w:p>
            <w:pPr>
              <w:spacing w:after="0" w:line="247" w:lineRule="auto"/>
            </w:pPr>
            <w:r>
              <w:rPr>
                <w:rFonts w:ascii="Calibri" w:hAnsi="Calibri"/>
                <w:b/>
                <w:color w:val="1F2937"/>
                <w:sz w:val="16"/>
              </w:rPr>
              <w:t>Omnicanal/OMS</w:t>
            </w:r>
          </w:p>
        </w:tc>
        <w:tc>
          <w:tcPr>
            <w:tcW w:type="dxa" w:w="3805"/>
            <w:vAlign w:val="center"/>
            <w:shd w:fill="F8FAFC"/>
            <w:tcMar>
              <w:top w:w="90" w:type="dxa"/>
              <w:bottom w:w="90" w:type="dxa"/>
              <w:start w:w="120" w:type="dxa"/>
              <w:end w:w="120" w:type="dxa"/>
            </w:tcMar>
          </w:tcPr>
          <w:p>
            <w:pPr>
              <w:spacing w:after="0" w:line="247" w:lineRule="auto"/>
            </w:pPr>
            <w:r>
              <w:rPr>
                <w:rFonts w:ascii="Calibri" w:hAnsi="Calibri"/>
                <w:b w:val="0"/>
                <w:color w:val="1F2937"/>
                <w:sz w:val="16"/>
              </w:rPr>
              <w:t>Ventaja clara cuando hay múltiples stocks, tiendas, sellers o fulfillment complejo</w:t>
            </w:r>
          </w:p>
        </w:tc>
        <w:tc>
          <w:tcPr>
            <w:tcW w:type="dxa" w:w="3805"/>
            <w:vAlign w:val="center"/>
            <w:shd w:fill="F8FAFC"/>
            <w:tcMar>
              <w:top w:w="90" w:type="dxa"/>
              <w:bottom w:w="90" w:type="dxa"/>
              <w:start w:w="120" w:type="dxa"/>
              <w:end w:w="120" w:type="dxa"/>
            </w:tcMar>
          </w:tcPr>
          <w:p>
            <w:pPr>
              <w:spacing w:after="0" w:line="247" w:lineRule="auto"/>
            </w:pPr>
            <w:r>
              <w:rPr>
                <w:rFonts w:ascii="Calibri" w:hAnsi="Calibri"/>
                <w:b w:val="0"/>
                <w:color w:val="1F2937"/>
                <w:sz w:val="16"/>
              </w:rPr>
              <w:t>Más acotado; planes superiores amplían centros y gestión</w:t>
            </w:r>
          </w:p>
        </w:tc>
      </w:tr>
      <w:tr>
        <w:trPr/>
        <w:tc>
          <w:tcPr>
            <w:tcW w:type="dxa" w:w="1750"/>
            <w:vAlign w:val="center"/>
            <w:tcMar>
              <w:top w:w="90" w:type="dxa"/>
              <w:bottom w:w="90" w:type="dxa"/>
              <w:start w:w="120" w:type="dxa"/>
              <w:end w:w="120" w:type="dxa"/>
            </w:tcMar>
          </w:tcPr>
          <w:p>
            <w:pPr>
              <w:spacing w:after="0" w:line="247" w:lineRule="auto"/>
            </w:pPr>
            <w:r>
              <w:rPr>
                <w:rFonts w:ascii="Calibri" w:hAnsi="Calibri"/>
                <w:b/>
                <w:color w:val="1F2937"/>
                <w:sz w:val="16"/>
              </w:rPr>
              <w:t>Soporte técnico</w:t>
            </w:r>
          </w:p>
        </w:tc>
        <w:tc>
          <w:tcPr>
            <w:tcW w:type="dxa" w:w="3805"/>
            <w:vAlign w:val="center"/>
            <w:tcMar>
              <w:top w:w="90" w:type="dxa"/>
              <w:bottom w:w="90" w:type="dxa"/>
              <w:start w:w="120" w:type="dxa"/>
              <w:end w:w="120" w:type="dxa"/>
            </w:tcMar>
          </w:tcPr>
          <w:p>
            <w:pPr>
              <w:spacing w:after="0" w:line="247" w:lineRule="auto"/>
            </w:pPr>
            <w:r>
              <w:rPr>
                <w:rFonts w:ascii="Calibri" w:hAnsi="Calibri"/>
                <w:b w:val="0"/>
                <w:color w:val="1F2937"/>
                <w:sz w:val="16"/>
              </w:rPr>
              <w:t>Requiere coordinación plataforma + integrador + aplicaciones</w:t>
            </w:r>
          </w:p>
        </w:tc>
        <w:tc>
          <w:tcPr>
            <w:tcW w:type="dxa" w:w="3805"/>
            <w:vAlign w:val="center"/>
            <w:tcMar>
              <w:top w:w="90" w:type="dxa"/>
              <w:bottom w:w="90" w:type="dxa"/>
              <w:start w:w="120" w:type="dxa"/>
              <w:end w:w="120" w:type="dxa"/>
            </w:tcMar>
          </w:tcPr>
          <w:p>
            <w:pPr>
              <w:spacing w:after="0" w:line="247" w:lineRule="auto"/>
            </w:pPr>
            <w:r>
              <w:rPr>
                <w:rFonts w:ascii="Calibri" w:hAnsi="Calibri"/>
                <w:b w:val="0"/>
                <w:color w:val="1F2937"/>
                <w:sz w:val="16"/>
              </w:rPr>
              <w:t>Menor barrera, aunque las apps agregan terceros y contratos separados</w:t>
            </w:r>
          </w:p>
        </w:tc>
      </w:tr>
      <w:tr>
        <w:trPr/>
        <w:tc>
          <w:tcPr>
            <w:tcW w:type="dxa" w:w="1750"/>
            <w:vAlign w:val="center"/>
            <w:shd w:fill="F8FAFC"/>
            <w:tcMar>
              <w:top w:w="90" w:type="dxa"/>
              <w:bottom w:w="90" w:type="dxa"/>
              <w:start w:w="120" w:type="dxa"/>
              <w:end w:w="120" w:type="dxa"/>
            </w:tcMar>
          </w:tcPr>
          <w:p>
            <w:pPr>
              <w:spacing w:after="0" w:line="247" w:lineRule="auto"/>
            </w:pPr>
            <w:r>
              <w:rPr>
                <w:rFonts w:ascii="Calibri" w:hAnsi="Calibri"/>
                <w:b/>
                <w:color w:val="1F2937"/>
                <w:sz w:val="16"/>
              </w:rPr>
              <w:t>Riesgo de salida</w:t>
            </w:r>
          </w:p>
        </w:tc>
        <w:tc>
          <w:tcPr>
            <w:tcW w:type="dxa" w:w="3805"/>
            <w:vAlign w:val="center"/>
            <w:shd w:fill="F8FAFC"/>
            <w:tcMar>
              <w:top w:w="90" w:type="dxa"/>
              <w:bottom w:w="90" w:type="dxa"/>
              <w:start w:w="120" w:type="dxa"/>
              <w:end w:w="120" w:type="dxa"/>
            </w:tcMar>
          </w:tcPr>
          <w:p>
            <w:pPr>
              <w:spacing w:after="0" w:line="247" w:lineRule="auto"/>
            </w:pPr>
            <w:r>
              <w:rPr>
                <w:rFonts w:ascii="Calibri" w:hAnsi="Calibri"/>
                <w:b w:val="0"/>
                <w:color w:val="1F2937"/>
                <w:sz w:val="16"/>
              </w:rPr>
              <w:t>Mayor dependencia de desarrollos y contratos especializados</w:t>
            </w:r>
          </w:p>
        </w:tc>
        <w:tc>
          <w:tcPr>
            <w:tcW w:type="dxa" w:w="3805"/>
            <w:vAlign w:val="center"/>
            <w:shd w:fill="F8FAFC"/>
            <w:tcMar>
              <w:top w:w="90" w:type="dxa"/>
              <w:bottom w:w="90" w:type="dxa"/>
              <w:start w:w="120" w:type="dxa"/>
              <w:end w:w="120" w:type="dxa"/>
            </w:tcMar>
          </w:tcPr>
          <w:p>
            <w:pPr>
              <w:spacing w:after="0" w:line="247" w:lineRule="auto"/>
            </w:pPr>
            <w:r>
              <w:rPr>
                <w:rFonts w:ascii="Calibri" w:hAnsi="Calibri"/>
                <w:b w:val="0"/>
                <w:color w:val="1F2937"/>
                <w:sz w:val="16"/>
              </w:rPr>
              <w:t>Migrar hacia Tiendanube exige recrear customizaciones y mapear datos</w:t>
            </w:r>
          </w:p>
        </w:tc>
      </w:tr>
    </w:tbl>
    <w:p>
      <w:pPr>
        <w:keepLines/>
        <w:spacing w:after="40"/>
      </w:pPr>
    </w:p>
    <w:p>
      <w:pPr>
        <w:pStyle w:val="Heading2"/>
        <w:keepNext/>
        <w:keepLines/>
      </w:pPr>
      <w:r>
        <w:t>Ventajas principales de VTEX</w:t>
      </w:r>
    </w:p>
    <w:p>
      <w:pPr>
        <w:pStyle w:val="ListBullet"/>
        <w:keepLines/>
        <w:ind w:left="720" w:hanging="360"/>
      </w:pPr>
      <w:r>
        <w:rPr>
          <w:rFonts w:ascii="Calibri" w:hAnsi="Calibri"/>
          <w:color w:val="1F2937"/>
        </w:rPr>
        <w:t>Escalabilidad y control: mejor preparada para reglas comerciales, inventario, OMS, marketplaces y operaciones complejas.</w:t>
      </w:r>
    </w:p>
    <w:p>
      <w:pPr>
        <w:pStyle w:val="ListBullet"/>
        <w:keepLines/>
        <w:ind w:left="720" w:hanging="360"/>
      </w:pPr>
      <w:r>
        <w:rPr>
          <w:rFonts w:ascii="Calibri" w:hAnsi="Calibri"/>
          <w:color w:val="1F2937"/>
        </w:rPr>
        <w:t>Extensibilidad: permite construir diferenciadores mediante VTEX IO, APIs y opciones composables/headless.</w:t>
      </w:r>
    </w:p>
    <w:p>
      <w:pPr>
        <w:pStyle w:val="ListBullet"/>
        <w:keepLines/>
        <w:ind w:left="720" w:hanging="360"/>
      </w:pPr>
      <w:r>
        <w:rPr>
          <w:rFonts w:ascii="Calibri" w:hAnsi="Calibri"/>
          <w:color w:val="1F2937"/>
        </w:rPr>
        <w:t>Continuidad: evita una migración de catálogo, SEO, promociones, clientes, analytics y procesos ya estabilizados.</w:t>
      </w:r>
    </w:p>
    <w:p>
      <w:pPr>
        <w:pStyle w:val="ListBullet"/>
        <w:keepLines/>
        <w:ind w:left="720" w:hanging="360"/>
      </w:pPr>
      <w:r>
        <w:rPr>
          <w:rFonts w:ascii="Calibri" w:hAnsi="Calibri"/>
          <w:color w:val="1F2937"/>
        </w:rPr>
        <w:t>Aprovechamiento de activos existentes: conserva la app personalizada de cuotas/promociones y el conocimiento acumulado.</w:t>
      </w:r>
    </w:p>
    <w:p>
      <w:pPr>
        <w:pStyle w:val="Heading2"/>
        <w:keepNext/>
        <w:keepLines/>
      </w:pPr>
      <w:r>
        <w:t>Desventajas principales de VTEX</w:t>
      </w:r>
    </w:p>
    <w:p>
      <w:pPr>
        <w:pStyle w:val="ListBullet"/>
        <w:keepLines/>
        <w:ind w:left="720" w:hanging="360"/>
      </w:pPr>
      <w:r>
        <w:rPr>
          <w:rFonts w:ascii="Calibri" w:hAnsi="Calibri"/>
          <w:color w:val="1F2937"/>
        </w:rPr>
        <w:t>Costo total y complejidad más altos: plataforma, Producteca, Pirce, aplicaciones y horas de desarrollo deben analizarse como un conjunto.</w:t>
      </w:r>
    </w:p>
    <w:p>
      <w:pPr>
        <w:pStyle w:val="ListBullet"/>
        <w:keepLines/>
        <w:ind w:left="720" w:hanging="360"/>
      </w:pPr>
      <w:r>
        <w:rPr>
          <w:rFonts w:ascii="Calibri" w:hAnsi="Calibri"/>
          <w:color w:val="1F2937"/>
        </w:rPr>
        <w:t>Mayor dependencia de especialistas: cambios y diagnósticos pueden involucrar a más de un proveedor.</w:t>
      </w:r>
    </w:p>
    <w:p>
      <w:pPr>
        <w:pStyle w:val="ListBullet"/>
        <w:keepLines/>
        <w:ind w:left="720" w:hanging="360"/>
      </w:pPr>
      <w:r>
        <w:rPr>
          <w:rFonts w:ascii="Calibri" w:hAnsi="Calibri"/>
          <w:color w:val="1F2937"/>
        </w:rPr>
        <w:t>Riesgo de sobredimensionamiento: si la operación es esencialmente una tienda B2C estándar más Mercado Libre, parte de la capacidad puede no generar retorno.</w:t>
      </w:r>
    </w:p>
    <w:p>
      <w:pPr>
        <w:pStyle w:val="ListBullet"/>
        <w:keepLines/>
        <w:ind w:left="720" w:hanging="360"/>
      </w:pPr>
      <w:r>
        <w:rPr>
          <w:rFonts w:ascii="Calibri" w:hAnsi="Calibri"/>
          <w:color w:val="1F2937"/>
        </w:rPr>
        <w:t>Gobernanza exigente: se necesita definir qué sistema manda sobre catálogo, stock, precio y pedidos.</w:t>
      </w:r>
    </w:p>
    <w:p>
      <w:pPr>
        <w:pStyle w:val="Heading2"/>
        <w:keepNext/>
        <w:keepLines/>
      </w:pPr>
      <w:r>
        <w:t>Ventajas principales de Tiendanube</w:t>
      </w:r>
    </w:p>
    <w:p>
      <w:pPr>
        <w:pStyle w:val="ListBullet"/>
        <w:keepLines/>
        <w:ind w:left="720" w:hanging="360"/>
      </w:pPr>
      <w:r>
        <w:rPr>
          <w:rFonts w:ascii="Calibri" w:hAnsi="Calibri"/>
          <w:color w:val="1F2937"/>
        </w:rPr>
        <w:t>Menor barrera operativa: puesta en marcha, administración y capacitación más simples.</w:t>
      </w:r>
    </w:p>
    <w:p>
      <w:pPr>
        <w:pStyle w:val="ListBullet"/>
        <w:keepLines/>
        <w:ind w:left="720" w:hanging="360"/>
      </w:pPr>
      <w:r>
        <w:rPr>
          <w:rFonts w:ascii="Calibri" w:hAnsi="Calibri"/>
          <w:color w:val="1F2937"/>
        </w:rPr>
        <w:t>Mayor transparencia inicial de costos: publica planes en Argentina y permite escalar por niveles.</w:t>
      </w:r>
    </w:p>
    <w:p>
      <w:pPr>
        <w:pStyle w:val="ListBullet"/>
        <w:keepLines/>
        <w:ind w:left="720" w:hanging="360"/>
      </w:pPr>
      <w:r>
        <w:rPr>
          <w:rFonts w:ascii="Calibri" w:hAnsi="Calibri"/>
          <w:color w:val="1F2937"/>
        </w:rPr>
        <w:t>Ecosistema local: pagos, envíos y aplicaciones pensadas para negocios argentinos.</w:t>
      </w:r>
    </w:p>
    <w:p>
      <w:pPr>
        <w:pStyle w:val="ListBullet"/>
        <w:keepLines/>
        <w:ind w:left="720" w:hanging="360"/>
      </w:pPr>
      <w:r>
        <w:rPr>
          <w:rFonts w:ascii="Calibri" w:hAnsi="Calibri"/>
          <w:color w:val="1F2937"/>
        </w:rPr>
        <w:t>Compatibilidad documentada con Astroselling: sincronización de precio y stock, publicación y centralización de ventas multicanal.</w:t>
      </w:r>
    </w:p>
    <w:p>
      <w:pPr>
        <w:pStyle w:val="Heading2"/>
        <w:keepNext/>
        <w:keepLines/>
      </w:pPr>
      <w:r>
        <w:t>Desventajas principales de Tiendanube</w:t>
      </w:r>
    </w:p>
    <w:p>
      <w:pPr>
        <w:pStyle w:val="ListBullet"/>
        <w:keepLines/>
        <w:ind w:left="720" w:hanging="360"/>
      </w:pPr>
      <w:r>
        <w:rPr>
          <w:rFonts w:ascii="Calibri" w:hAnsi="Calibri"/>
          <w:color w:val="1F2937"/>
        </w:rPr>
        <w:t>Menor profundidad para casos complejos: hay que validar promociones, múltiples inventarios, fulfillment, permisos y flujos especiales.</w:t>
      </w:r>
    </w:p>
    <w:p>
      <w:pPr>
        <w:pStyle w:val="ListBullet"/>
        <w:keepLines/>
        <w:ind w:left="720" w:hanging="360"/>
      </w:pPr>
      <w:r>
        <w:rPr>
          <w:rFonts w:ascii="Calibri" w:hAnsi="Calibri"/>
          <w:color w:val="1F2937"/>
        </w:rPr>
        <w:t>Dependencia de aplicaciones: el costo y la confiabilidad final no son solo los del plan base.</w:t>
      </w:r>
    </w:p>
    <w:p>
      <w:pPr>
        <w:pStyle w:val="ListBullet"/>
        <w:keepLines/>
        <w:ind w:left="720" w:hanging="360"/>
      </w:pPr>
      <w:r>
        <w:rPr>
          <w:rFonts w:ascii="Calibri" w:hAnsi="Calibri"/>
          <w:color w:val="1F2937"/>
        </w:rPr>
        <w:t>Comisiones: con medios de pago externos, los planes publicados contemplan costo por transacción.</w:t>
      </w:r>
    </w:p>
    <w:p>
      <w:pPr>
        <w:pStyle w:val="ListBullet"/>
        <w:keepLines/>
        <w:ind w:left="720" w:hanging="360"/>
      </w:pPr>
      <w:r>
        <w:rPr>
          <w:rFonts w:ascii="Calibri" w:hAnsi="Calibri"/>
          <w:color w:val="1F2937"/>
        </w:rPr>
        <w:t>Costo de migración y posible pérdida funcional: SEO, customizaciones, históricos y procesos deben reconstruirse o resignarse.</w:t>
      </w:r>
    </w:p>
    <w:p>
      <w:pPr>
        <w:pStyle w:val="Heading2"/>
        <w:keepNext/>
        <w:keepLines/>
      </w:pPr>
      <w:r>
        <w:t>Demostración visual y desarrollo custom en Tiendanube</w:t>
      </w:r>
    </w:p>
    <w:p>
      <w:pPr>
        <w:spacing w:after="120"/>
      </w:pPr>
      <w:r>
        <w:rPr>
          <w:rFonts w:ascii="Calibri" w:hAnsi="Calibri"/>
          <w:i w:val="0"/>
          <w:color w:val="1F2937"/>
        </w:rPr>
        <w:t>La comparación no debe hacerse entre una VTEX trabajada durante años y una plantilla básica de Tiendanube. Para que la decisión sea justa, se propone construir una demo custom con la identidad real de Saracho y medirla contra las pantallas actuales.</w:t>
      </w:r>
    </w:p>
    <w:tbl>
      <w:tblPr>
        <w:tblStyle w:val="TableGrid"/>
        <w:tblW w:type="dxa" w:w="9360"/>
        <w:jc w:val="left"/>
        <w:tblLayout w:type="fixed"/>
        <w:tblLook w:firstColumn="1" w:firstRow="1" w:lastColumn="0" w:lastRow="0" w:noHBand="0" w:noVBand="1" w:val="04A0"/>
        <w:tblInd w:type="dxa" w:w="120"/>
      </w:tblPr>
      <w:tblGrid>
        <w:gridCol w:w="2100"/>
        <w:gridCol w:w="7260"/>
      </w:tblGrid>
      <w:tr>
        <w:trPr>
          <w:tblHeader w:val="true"/>
        </w:trPr>
        <w:tc>
          <w:tcPr>
            <w:tcW w:type="dxa" w:w="2100"/>
            <w:shd w:fill="17365D"/>
            <w:vAlign w:val="center"/>
            <w:tcMar>
              <w:top w:w="90" w:type="dxa"/>
              <w:bottom w:w="90" w:type="dxa"/>
              <w:start w:w="120" w:type="dxa"/>
              <w:end w:w="120" w:type="dxa"/>
            </w:tcMar>
          </w:tcPr>
          <w:p>
            <w:pPr>
              <w:spacing w:after="0"/>
              <w:jc w:val="left"/>
            </w:pPr>
            <w:r>
              <w:rPr>
                <w:rFonts w:ascii="Calibri" w:hAnsi="Calibri"/>
                <w:b/>
                <w:color w:val="FFFFFF"/>
                <w:sz w:val="17"/>
              </w:rPr>
              <w:t>Pantalla/tema</w:t>
            </w:r>
          </w:p>
        </w:tc>
        <w:tc>
          <w:tcPr>
            <w:tcW w:type="dxa" w:w="7260"/>
            <w:shd w:fill="17365D"/>
            <w:vAlign w:val="center"/>
            <w:tcMar>
              <w:top w:w="90" w:type="dxa"/>
              <w:bottom w:w="90" w:type="dxa"/>
              <w:start w:w="120" w:type="dxa"/>
              <w:end w:w="120" w:type="dxa"/>
            </w:tcMar>
          </w:tcPr>
          <w:p>
            <w:pPr>
              <w:spacing w:after="0"/>
              <w:jc w:val="left"/>
            </w:pPr>
            <w:r>
              <w:rPr>
                <w:rFonts w:ascii="Calibri" w:hAnsi="Calibri"/>
                <w:b/>
                <w:color w:val="FFFFFF"/>
                <w:sz w:val="17"/>
              </w:rPr>
              <w:t>Qué debe demostrar la demo custom</w:t>
            </w:r>
          </w:p>
        </w:tc>
      </w:tr>
      <w:tr>
        <w:trPr/>
        <w:tc>
          <w:tcPr>
            <w:tcW w:type="dxa" w:w="2100"/>
            <w:vAlign w:val="center"/>
            <w:tcMar>
              <w:top w:w="90" w:type="dxa"/>
              <w:bottom w:w="90" w:type="dxa"/>
              <w:start w:w="120" w:type="dxa"/>
              <w:end w:w="120" w:type="dxa"/>
            </w:tcMar>
          </w:tcPr>
          <w:p>
            <w:pPr>
              <w:spacing w:after="0" w:line="247" w:lineRule="auto"/>
            </w:pPr>
            <w:r>
              <w:rPr>
                <w:rFonts w:ascii="Calibri" w:hAnsi="Calibri"/>
                <w:b/>
                <w:color w:val="1F2937"/>
                <w:sz w:val="17"/>
              </w:rPr>
              <w:t>Home</w:t>
            </w:r>
          </w:p>
        </w:tc>
        <w:tc>
          <w:tcPr>
            <w:tcW w:type="dxa" w:w="7260"/>
            <w:vAlign w:val="center"/>
            <w:tcMar>
              <w:top w:w="90" w:type="dxa"/>
              <w:bottom w:w="90" w:type="dxa"/>
              <w:start w:w="120" w:type="dxa"/>
              <w:end w:w="120" w:type="dxa"/>
            </w:tcMar>
          </w:tcPr>
          <w:p>
            <w:pPr>
              <w:spacing w:after="0" w:line="247" w:lineRule="auto"/>
            </w:pPr>
            <w:r>
              <w:rPr>
                <w:rFonts w:ascii="Calibri" w:hAnsi="Calibri"/>
                <w:b w:val="0"/>
                <w:color w:val="1F2937"/>
                <w:sz w:val="17"/>
              </w:rPr>
              <w:t>Marca, propuesta comercial, financiación, categorías y acceso rápido por medida</w:t>
            </w:r>
          </w:p>
        </w:tc>
      </w:tr>
      <w:tr>
        <w:trPr/>
        <w:tc>
          <w:tcPr>
            <w:tcW w:type="dxa" w:w="2100"/>
            <w:vAlign w:val="center"/>
            <w:shd w:fill="F8FAFC"/>
            <w:tcMar>
              <w:top w:w="90" w:type="dxa"/>
              <w:bottom w:w="90" w:type="dxa"/>
              <w:start w:w="120" w:type="dxa"/>
              <w:end w:w="120" w:type="dxa"/>
            </w:tcMar>
          </w:tcPr>
          <w:p>
            <w:pPr>
              <w:spacing w:after="0" w:line="247" w:lineRule="auto"/>
            </w:pPr>
            <w:r>
              <w:rPr>
                <w:rFonts w:ascii="Calibri" w:hAnsi="Calibri"/>
                <w:b/>
                <w:color w:val="1F2937"/>
                <w:sz w:val="17"/>
              </w:rPr>
              <w:t>Listado / PLP</w:t>
            </w:r>
          </w:p>
        </w:tc>
        <w:tc>
          <w:tcPr>
            <w:tcW w:type="dxa" w:w="7260"/>
            <w:vAlign w:val="center"/>
            <w:shd w:fill="F8FAFC"/>
            <w:tcMar>
              <w:top w:w="90" w:type="dxa"/>
              <w:bottom w:w="90" w:type="dxa"/>
              <w:start w:w="120" w:type="dxa"/>
              <w:end w:w="120" w:type="dxa"/>
            </w:tcMar>
          </w:tcPr>
          <w:p>
            <w:pPr>
              <w:spacing w:after="0" w:line="247" w:lineRule="auto"/>
            </w:pPr>
            <w:r>
              <w:rPr>
                <w:rFonts w:ascii="Calibri" w:hAnsi="Calibri"/>
                <w:b w:val="0"/>
                <w:color w:val="1F2937"/>
                <w:sz w:val="17"/>
              </w:rPr>
              <w:t>Filtros claros, tarjetas de producto, precio, cuotas, stock y navegación móvil</w:t>
            </w:r>
          </w:p>
        </w:tc>
      </w:tr>
      <w:tr>
        <w:trPr/>
        <w:tc>
          <w:tcPr>
            <w:tcW w:type="dxa" w:w="2100"/>
            <w:vAlign w:val="center"/>
            <w:tcMar>
              <w:top w:w="90" w:type="dxa"/>
              <w:bottom w:w="90" w:type="dxa"/>
              <w:start w:w="120" w:type="dxa"/>
              <w:end w:w="120" w:type="dxa"/>
            </w:tcMar>
          </w:tcPr>
          <w:p>
            <w:pPr>
              <w:spacing w:after="0" w:line="247" w:lineRule="auto"/>
            </w:pPr>
            <w:r>
              <w:rPr>
                <w:rFonts w:ascii="Calibri" w:hAnsi="Calibri"/>
                <w:b/>
                <w:color w:val="1F2937"/>
                <w:sz w:val="17"/>
              </w:rPr>
              <w:t>Ficha / PDP</w:t>
            </w:r>
          </w:p>
        </w:tc>
        <w:tc>
          <w:tcPr>
            <w:tcW w:type="dxa" w:w="7260"/>
            <w:vAlign w:val="center"/>
            <w:tcMar>
              <w:top w:w="90" w:type="dxa"/>
              <w:bottom w:w="90" w:type="dxa"/>
              <w:start w:w="120" w:type="dxa"/>
              <w:end w:w="120" w:type="dxa"/>
            </w:tcMar>
          </w:tcPr>
          <w:p>
            <w:pPr>
              <w:spacing w:after="0" w:line="247" w:lineRule="auto"/>
            </w:pPr>
            <w:r>
              <w:rPr>
                <w:rFonts w:ascii="Calibri" w:hAnsi="Calibri"/>
                <w:b w:val="0"/>
                <w:color w:val="1F2937"/>
                <w:sz w:val="17"/>
              </w:rPr>
              <w:t>Medida, atributos, beneficios, envío, cuotas, confianza y llamado a compra</w:t>
            </w:r>
          </w:p>
        </w:tc>
      </w:tr>
      <w:tr>
        <w:trPr/>
        <w:tc>
          <w:tcPr>
            <w:tcW w:type="dxa" w:w="2100"/>
            <w:vAlign w:val="center"/>
            <w:shd w:fill="F8FAFC"/>
            <w:tcMar>
              <w:top w:w="90" w:type="dxa"/>
              <w:bottom w:w="90" w:type="dxa"/>
              <w:start w:w="120" w:type="dxa"/>
              <w:end w:w="120" w:type="dxa"/>
            </w:tcMar>
          </w:tcPr>
          <w:p>
            <w:pPr>
              <w:spacing w:after="0" w:line="247" w:lineRule="auto"/>
            </w:pPr>
            <w:r>
              <w:rPr>
                <w:rFonts w:ascii="Calibri" w:hAnsi="Calibri"/>
                <w:b/>
                <w:color w:val="1F2937"/>
                <w:sz w:val="17"/>
              </w:rPr>
              <w:t>Carrito y checkout</w:t>
            </w:r>
          </w:p>
        </w:tc>
        <w:tc>
          <w:tcPr>
            <w:tcW w:type="dxa" w:w="7260"/>
            <w:vAlign w:val="center"/>
            <w:shd w:fill="F8FAFC"/>
            <w:tcMar>
              <w:top w:w="90" w:type="dxa"/>
              <w:bottom w:w="90" w:type="dxa"/>
              <w:start w:w="120" w:type="dxa"/>
              <w:end w:w="120" w:type="dxa"/>
            </w:tcMar>
          </w:tcPr>
          <w:p>
            <w:pPr>
              <w:spacing w:after="0" w:line="247" w:lineRule="auto"/>
            </w:pPr>
            <w:r>
              <w:rPr>
                <w:rFonts w:ascii="Calibri" w:hAnsi="Calibri"/>
                <w:b w:val="0"/>
                <w:color w:val="1F2937"/>
                <w:sz w:val="17"/>
              </w:rPr>
              <w:t>Continuidad visual, claridad de costos, pagos, envío y ausencia de fricción</w:t>
            </w:r>
          </w:p>
        </w:tc>
      </w:tr>
      <w:tr>
        <w:trPr/>
        <w:tc>
          <w:tcPr>
            <w:tcW w:type="dxa" w:w="2100"/>
            <w:vAlign w:val="center"/>
            <w:tcMar>
              <w:top w:w="90" w:type="dxa"/>
              <w:bottom w:w="90" w:type="dxa"/>
              <w:start w:w="120" w:type="dxa"/>
              <w:end w:w="120" w:type="dxa"/>
            </w:tcMar>
          </w:tcPr>
          <w:p>
            <w:pPr>
              <w:spacing w:after="0" w:line="247" w:lineRule="auto"/>
            </w:pPr>
            <w:r>
              <w:rPr>
                <w:rFonts w:ascii="Calibri" w:hAnsi="Calibri"/>
                <w:b/>
                <w:color w:val="1F2937"/>
                <w:sz w:val="17"/>
              </w:rPr>
              <w:t>Móvil</w:t>
            </w:r>
          </w:p>
        </w:tc>
        <w:tc>
          <w:tcPr>
            <w:tcW w:type="dxa" w:w="7260"/>
            <w:vAlign w:val="center"/>
            <w:tcMar>
              <w:top w:w="90" w:type="dxa"/>
              <w:bottom w:w="90" w:type="dxa"/>
              <w:start w:w="120" w:type="dxa"/>
              <w:end w:w="120" w:type="dxa"/>
            </w:tcMar>
          </w:tcPr>
          <w:p>
            <w:pPr>
              <w:spacing w:after="0" w:line="247" w:lineRule="auto"/>
            </w:pPr>
            <w:r>
              <w:rPr>
                <w:rFonts w:ascii="Calibri" w:hAnsi="Calibri"/>
                <w:b w:val="0"/>
                <w:color w:val="1F2937"/>
                <w:sz w:val="17"/>
              </w:rPr>
              <w:t>Jerarquía, velocidad percibida, botones, filtros y lectura sin pérdida de identidad</w:t>
            </w:r>
          </w:p>
        </w:tc>
      </w:tr>
      <w:tr>
        <w:trPr/>
        <w:tc>
          <w:tcPr>
            <w:tcW w:type="dxa" w:w="2100"/>
            <w:vAlign w:val="center"/>
            <w:shd w:fill="F8FAFC"/>
            <w:tcMar>
              <w:top w:w="90" w:type="dxa"/>
              <w:bottom w:w="90" w:type="dxa"/>
              <w:start w:w="120" w:type="dxa"/>
              <w:end w:w="120" w:type="dxa"/>
            </w:tcMar>
          </w:tcPr>
          <w:p>
            <w:pPr>
              <w:spacing w:after="0" w:line="247" w:lineRule="auto"/>
            </w:pPr>
            <w:r>
              <w:rPr>
                <w:rFonts w:ascii="Calibri" w:hAnsi="Calibri"/>
                <w:b/>
                <w:color w:val="1F2937"/>
                <w:sz w:val="17"/>
              </w:rPr>
              <w:t>SEO y analítica</w:t>
            </w:r>
          </w:p>
        </w:tc>
        <w:tc>
          <w:tcPr>
            <w:tcW w:type="dxa" w:w="7260"/>
            <w:vAlign w:val="center"/>
            <w:shd w:fill="F8FAFC"/>
            <w:tcMar>
              <w:top w:w="90" w:type="dxa"/>
              <w:bottom w:w="90" w:type="dxa"/>
              <w:start w:w="120" w:type="dxa"/>
              <w:end w:w="120" w:type="dxa"/>
            </w:tcMar>
          </w:tcPr>
          <w:p>
            <w:pPr>
              <w:spacing w:after="0" w:line="247" w:lineRule="auto"/>
            </w:pPr>
            <w:r>
              <w:rPr>
                <w:rFonts w:ascii="Calibri" w:hAnsi="Calibri"/>
                <w:b w:val="0"/>
                <w:color w:val="1F2937"/>
                <w:sz w:val="17"/>
              </w:rPr>
              <w:t>Metadatos, URLs, datos estructurados, eventos y medición comparables</w:t>
            </w:r>
          </w:p>
        </w:tc>
      </w:tr>
    </w:tbl>
    <w:p>
      <w:pPr>
        <w:keepLines/>
        <w:spacing w:after="40"/>
      </w:pPr>
    </w:p>
    <w:p>
      <w:pPr>
        <w:spacing w:before="80" w:after="80"/>
      </w:pPr>
      <w:r>
        <w:rPr>
          <w:rFonts w:ascii="Calibri" w:hAnsi="Calibri"/>
          <w:i/>
          <w:color w:val="5B6573"/>
          <w:sz w:val="16"/>
        </w:rPr>
        <w:t>Tiendanube publica acceso al código y opciones de diseño mediante HTML, CSS y JavaScript según el plan; el alcance exacto debe confirmarse para la contratación elegida.</w:t>
      </w:r>
      <w:hyperlink r:id="rId11">
        <w:r>
          <w:rPr>
            <w:color w:val="2E74B5"/>
            <w:u w:val="single"/>
            <w:rFonts w:ascii="Calibri" w:hAnsi="Calibri"/>
          </w:rPr>
          <w:t> Abrir fuente</w:t>
        </w:r>
      </w:hyperlink>
    </w:p>
    <w:p>
      <w:pPr>
        <w:pStyle w:val="Heading1"/>
        <w:keepNext/>
        <w:keepLines/>
      </w:pPr>
      <w:r>
        <w:t>3. Evaluación de los ecosistemas posibles</w:t>
      </w:r>
    </w:p>
    <w:tbl>
      <w:tblPr>
        <w:tblStyle w:val="TableGrid"/>
        <w:tblW w:type="dxa" w:w="9360"/>
        <w:jc w:val="left"/>
        <w:tblLayout w:type="fixed"/>
        <w:tblLook w:firstColumn="1" w:firstRow="1" w:lastColumn="0" w:lastRow="0" w:noHBand="0" w:noVBand="1" w:val="04A0"/>
        <w:tblInd w:type="dxa" w:w="120"/>
      </w:tblPr>
      <w:tblGrid>
        <w:gridCol w:w="2350"/>
        <w:gridCol w:w="2850"/>
        <w:gridCol w:w="2960"/>
        <w:gridCol w:w="1200"/>
      </w:tblGrid>
      <w:tr>
        <w:trPr>
          <w:tblHeader w:val="true"/>
        </w:trPr>
        <w:tc>
          <w:tcPr>
            <w:tcW w:type="dxa" w:w="2350"/>
            <w:shd w:fill="17365D"/>
            <w:vAlign w:val="center"/>
            <w:tcMar>
              <w:top w:w="90" w:type="dxa"/>
              <w:bottom w:w="90" w:type="dxa"/>
              <w:start w:w="120" w:type="dxa"/>
              <w:end w:w="120" w:type="dxa"/>
            </w:tcMar>
          </w:tcPr>
          <w:p>
            <w:pPr>
              <w:spacing w:after="0"/>
              <w:jc w:val="left"/>
            </w:pPr>
            <w:r>
              <w:rPr>
                <w:rFonts w:ascii="Calibri" w:hAnsi="Calibri"/>
                <w:b/>
                <w:color w:val="FFFFFF"/>
                <w:sz w:val="17"/>
              </w:rPr>
              <w:t>Escenario</w:t>
            </w:r>
          </w:p>
        </w:tc>
        <w:tc>
          <w:tcPr>
            <w:tcW w:type="dxa" w:w="2850"/>
            <w:shd w:fill="17365D"/>
            <w:vAlign w:val="center"/>
            <w:tcMar>
              <w:top w:w="90" w:type="dxa"/>
              <w:bottom w:w="90" w:type="dxa"/>
              <w:start w:w="120" w:type="dxa"/>
              <w:end w:w="120" w:type="dxa"/>
            </w:tcMar>
          </w:tcPr>
          <w:p>
            <w:pPr>
              <w:spacing w:after="0"/>
              <w:jc w:val="left"/>
            </w:pPr>
            <w:r>
              <w:rPr>
                <w:rFonts w:ascii="Calibri" w:hAnsi="Calibri"/>
                <w:b/>
                <w:color w:val="FFFFFF"/>
                <w:sz w:val="17"/>
              </w:rPr>
              <w:t>Fortaleza</w:t>
            </w:r>
          </w:p>
        </w:tc>
        <w:tc>
          <w:tcPr>
            <w:tcW w:type="dxa" w:w="2960"/>
            <w:shd w:fill="17365D"/>
            <w:vAlign w:val="center"/>
            <w:tcMar>
              <w:top w:w="90" w:type="dxa"/>
              <w:bottom w:w="90" w:type="dxa"/>
              <w:start w:w="120" w:type="dxa"/>
              <w:end w:w="120" w:type="dxa"/>
            </w:tcMar>
          </w:tcPr>
          <w:p>
            <w:pPr>
              <w:spacing w:after="0"/>
              <w:jc w:val="left"/>
            </w:pPr>
            <w:r>
              <w:rPr>
                <w:rFonts w:ascii="Calibri" w:hAnsi="Calibri"/>
                <w:b/>
                <w:color w:val="FFFFFF"/>
                <w:sz w:val="17"/>
              </w:rPr>
              <w:t>Riesgo principal</w:t>
            </w:r>
          </w:p>
        </w:tc>
        <w:tc>
          <w:tcPr>
            <w:tcW w:type="dxa" w:w="1200"/>
            <w:shd w:fill="17365D"/>
            <w:vAlign w:val="center"/>
            <w:tcMar>
              <w:top w:w="90" w:type="dxa"/>
              <w:bottom w:w="90" w:type="dxa"/>
              <w:start w:w="120" w:type="dxa"/>
              <w:end w:w="120" w:type="dxa"/>
            </w:tcMar>
          </w:tcPr>
          <w:p>
            <w:pPr>
              <w:spacing w:after="0"/>
              <w:jc w:val="left"/>
            </w:pPr>
            <w:r>
              <w:rPr>
                <w:rFonts w:ascii="Calibri" w:hAnsi="Calibri"/>
                <w:b/>
                <w:color w:val="FFFFFF"/>
                <w:sz w:val="17"/>
              </w:rPr>
              <w:t>Juicio</w:t>
            </w:r>
          </w:p>
        </w:tc>
      </w:tr>
      <w:tr>
        <w:trPr/>
        <w:tc>
          <w:tcPr>
            <w:tcW w:type="dxa" w:w="2350"/>
            <w:vAlign w:val="center"/>
            <w:tcMar>
              <w:top w:w="90" w:type="dxa"/>
              <w:bottom w:w="90" w:type="dxa"/>
              <w:start w:w="120" w:type="dxa"/>
              <w:end w:w="120" w:type="dxa"/>
            </w:tcMar>
          </w:tcPr>
          <w:p>
            <w:pPr>
              <w:spacing w:after="0" w:line="247" w:lineRule="auto"/>
            </w:pPr>
            <w:r>
              <w:rPr>
                <w:rFonts w:ascii="Calibri" w:hAnsi="Calibri"/>
                <w:b/>
                <w:color w:val="1F2937"/>
                <w:sz w:val="15"/>
              </w:rPr>
              <w:t>A. VTEX + Producteca + Pirce</w:t>
            </w:r>
          </w:p>
        </w:tc>
        <w:tc>
          <w:tcPr>
            <w:tcW w:type="dxa" w:w="2850"/>
            <w:vAlign w:val="center"/>
            <w:tcMar>
              <w:top w:w="90" w:type="dxa"/>
              <w:bottom w:w="90" w:type="dxa"/>
              <w:start w:w="120" w:type="dxa"/>
              <w:end w:w="120" w:type="dxa"/>
            </w:tcMar>
          </w:tcPr>
          <w:p>
            <w:pPr>
              <w:spacing w:after="0" w:line="247" w:lineRule="auto"/>
            </w:pPr>
            <w:r>
              <w:rPr>
                <w:rFonts w:ascii="Calibri" w:hAnsi="Calibri"/>
                <w:b w:val="0"/>
                <w:color w:val="1F2937"/>
                <w:sz w:val="15"/>
              </w:rPr>
              <w:t>Integración VTEX documentada; continuidad de customizaciones y operación</w:t>
            </w:r>
          </w:p>
        </w:tc>
        <w:tc>
          <w:tcPr>
            <w:tcW w:type="dxa" w:w="2960"/>
            <w:vAlign w:val="center"/>
            <w:tcMar>
              <w:top w:w="90" w:type="dxa"/>
              <w:bottom w:w="90" w:type="dxa"/>
              <w:start w:w="120" w:type="dxa"/>
              <w:end w:w="120" w:type="dxa"/>
            </w:tcMar>
          </w:tcPr>
          <w:p>
            <w:pPr>
              <w:spacing w:after="0" w:line="247" w:lineRule="auto"/>
            </w:pPr>
            <w:r>
              <w:rPr>
                <w:rFonts w:ascii="Calibri" w:hAnsi="Calibri"/>
                <w:b w:val="0"/>
                <w:color w:val="1F2937"/>
                <w:sz w:val="15"/>
              </w:rPr>
              <w:t>Costo, complejidad y coordinación de tres proveedores</w:t>
            </w:r>
          </w:p>
        </w:tc>
        <w:tc>
          <w:tcPr>
            <w:tcW w:type="dxa" w:w="1200"/>
            <w:vAlign w:val="center"/>
            <w:tcMar>
              <w:top w:w="90" w:type="dxa"/>
              <w:bottom w:w="90" w:type="dxa"/>
              <w:start w:w="120" w:type="dxa"/>
              <w:end w:w="120" w:type="dxa"/>
            </w:tcMar>
          </w:tcPr>
          <w:p>
            <w:pPr>
              <w:spacing w:after="0" w:line="247" w:lineRule="auto"/>
            </w:pPr>
            <w:r>
              <w:rPr>
                <w:rFonts w:ascii="Calibri" w:hAnsi="Calibri"/>
                <w:b/>
                <w:color w:val="2E7D32"/>
                <w:sz w:val="15"/>
              </w:rPr>
              <w:t>Viable / base actual</w:t>
            </w:r>
          </w:p>
        </w:tc>
      </w:tr>
      <w:tr>
        <w:trPr/>
        <w:tc>
          <w:tcPr>
            <w:tcW w:type="dxa" w:w="2350"/>
            <w:vAlign w:val="center"/>
            <w:shd w:fill="F8FAFC"/>
            <w:tcMar>
              <w:top w:w="90" w:type="dxa"/>
              <w:bottom w:w="90" w:type="dxa"/>
              <w:start w:w="120" w:type="dxa"/>
              <w:end w:w="120" w:type="dxa"/>
            </w:tcMar>
          </w:tcPr>
          <w:p>
            <w:pPr>
              <w:spacing w:after="0" w:line="247" w:lineRule="auto"/>
            </w:pPr>
            <w:r>
              <w:rPr>
                <w:rFonts w:ascii="Calibri" w:hAnsi="Calibri"/>
                <w:b/>
                <w:color w:val="1F2937"/>
                <w:sz w:val="15"/>
              </w:rPr>
              <w:t>B. VTEX + Astroselling + Pirce</w:t>
            </w:r>
          </w:p>
        </w:tc>
        <w:tc>
          <w:tcPr>
            <w:tcW w:type="dxa" w:w="285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Astroselling manifestó disposición a desarrollar la integración; podría reducir el costo si el alcance es equivalente</w:t>
            </w:r>
          </w:p>
        </w:tc>
        <w:tc>
          <w:tcPr>
            <w:tcW w:type="dxa" w:w="296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Sería una integración nueva/custom: falta cerrar alcance, costo, mantenimiento, SLA y responsabilidad de punta a punta</w:t>
            </w:r>
          </w:p>
        </w:tc>
        <w:tc>
          <w:tcPr>
            <w:tcW w:type="dxa" w:w="1200"/>
            <w:vAlign w:val="center"/>
            <w:shd w:fill="F8FAFC"/>
            <w:tcMar>
              <w:top w:w="90" w:type="dxa"/>
              <w:bottom w:w="90" w:type="dxa"/>
              <w:start w:w="120" w:type="dxa"/>
              <w:end w:w="120" w:type="dxa"/>
            </w:tcMar>
          </w:tcPr>
          <w:p>
            <w:pPr>
              <w:spacing w:after="0" w:line="247" w:lineRule="auto"/>
            </w:pPr>
            <w:r>
              <w:rPr>
                <w:rFonts w:ascii="Calibri" w:hAnsi="Calibri"/>
                <w:b/>
                <w:color w:val="2E7D32"/>
                <w:sz w:val="15"/>
              </w:rPr>
              <w:t>Viable para PoC</w:t>
            </w:r>
          </w:p>
        </w:tc>
      </w:tr>
      <w:tr>
        <w:trPr/>
        <w:tc>
          <w:tcPr>
            <w:tcW w:type="dxa" w:w="2350"/>
            <w:vAlign w:val="center"/>
            <w:tcMar>
              <w:top w:w="90" w:type="dxa"/>
              <w:bottom w:w="90" w:type="dxa"/>
              <w:start w:w="120" w:type="dxa"/>
              <w:end w:w="120" w:type="dxa"/>
            </w:tcMar>
          </w:tcPr>
          <w:p>
            <w:pPr>
              <w:spacing w:after="0" w:line="247" w:lineRule="auto"/>
            </w:pPr>
            <w:r>
              <w:rPr>
                <w:rFonts w:ascii="Calibri" w:hAnsi="Calibri"/>
                <w:b/>
                <w:color w:val="1F2937"/>
                <w:sz w:val="15"/>
              </w:rPr>
              <w:t>C. Tiendanube + Astroselling</w:t>
            </w:r>
          </w:p>
        </w:tc>
        <w:tc>
          <w:tcPr>
            <w:tcW w:type="dxa" w:w="2850"/>
            <w:vAlign w:val="center"/>
            <w:tcMar>
              <w:top w:w="90" w:type="dxa"/>
              <w:bottom w:w="90" w:type="dxa"/>
              <w:start w:w="120" w:type="dxa"/>
              <w:end w:w="120" w:type="dxa"/>
            </w:tcMar>
          </w:tcPr>
          <w:p>
            <w:pPr>
              <w:spacing w:after="0" w:line="247" w:lineRule="auto"/>
            </w:pPr>
            <w:r>
              <w:rPr>
                <w:rFonts w:ascii="Calibri" w:hAnsi="Calibri"/>
                <w:b w:val="0"/>
                <w:color w:val="1F2937"/>
                <w:sz w:val="15"/>
              </w:rPr>
              <w:t>Arquitectura más simple y conexión pública documentada; costos base visibles</w:t>
            </w:r>
          </w:p>
        </w:tc>
        <w:tc>
          <w:tcPr>
            <w:tcW w:type="dxa" w:w="2960"/>
            <w:vAlign w:val="center"/>
            <w:tcMar>
              <w:top w:w="90" w:type="dxa"/>
              <w:bottom w:w="90" w:type="dxa"/>
              <w:start w:w="120" w:type="dxa"/>
              <w:end w:w="120" w:type="dxa"/>
            </w:tcMar>
          </w:tcPr>
          <w:p>
            <w:pPr>
              <w:spacing w:after="0" w:line="247" w:lineRule="auto"/>
            </w:pPr>
            <w:r>
              <w:rPr>
                <w:rFonts w:ascii="Calibri" w:hAnsi="Calibri"/>
                <w:b w:val="0"/>
                <w:color w:val="1F2937"/>
                <w:sz w:val="15"/>
              </w:rPr>
              <w:t>Migración completa, recreación de funciones VTEX y validación de límites</w:t>
            </w:r>
          </w:p>
        </w:tc>
        <w:tc>
          <w:tcPr>
            <w:tcW w:type="dxa" w:w="1200"/>
            <w:vAlign w:val="center"/>
            <w:tcMar>
              <w:top w:w="90" w:type="dxa"/>
              <w:bottom w:w="90" w:type="dxa"/>
              <w:start w:w="120" w:type="dxa"/>
              <w:end w:w="120" w:type="dxa"/>
            </w:tcMar>
          </w:tcPr>
          <w:p>
            <w:pPr>
              <w:spacing w:after="0" w:line="247" w:lineRule="auto"/>
            </w:pPr>
            <w:r>
              <w:rPr>
                <w:rFonts w:ascii="Calibri" w:hAnsi="Calibri"/>
                <w:b/>
                <w:color w:val="B36B00"/>
                <w:sz w:val="15"/>
              </w:rPr>
              <w:t>Alternativa a evaluar</w:t>
            </w:r>
          </w:p>
        </w:tc>
      </w:tr>
      <w:tr>
        <w:trPr/>
        <w:tc>
          <w:tcPr>
            <w:tcW w:type="dxa" w:w="2350"/>
            <w:vAlign w:val="center"/>
            <w:shd w:fill="F8FAFC"/>
            <w:tcMar>
              <w:top w:w="90" w:type="dxa"/>
              <w:bottom w:w="90" w:type="dxa"/>
              <w:start w:w="120" w:type="dxa"/>
              <w:end w:w="120" w:type="dxa"/>
            </w:tcMar>
          </w:tcPr>
          <w:p>
            <w:pPr>
              <w:spacing w:after="0" w:line="247" w:lineRule="auto"/>
            </w:pPr>
            <w:r>
              <w:rPr>
                <w:rFonts w:ascii="Calibri" w:hAnsi="Calibri"/>
                <w:b/>
                <w:color w:val="1F2937"/>
                <w:sz w:val="15"/>
              </w:rPr>
              <w:t>D. Tiendanube + Producteca (transición)</w:t>
            </w:r>
          </w:p>
        </w:tc>
        <w:tc>
          <w:tcPr>
            <w:tcW w:type="dxa" w:w="285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Permite desacoplar la migración de plataforma del cambio de integrador</w:t>
            </w:r>
          </w:p>
        </w:tc>
        <w:tc>
          <w:tcPr>
            <w:tcW w:type="dxa" w:w="296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Mantiene temporalmente el costo de Producteca y requiere doble transición</w:t>
            </w:r>
          </w:p>
        </w:tc>
        <w:tc>
          <w:tcPr>
            <w:tcW w:type="dxa" w:w="1200"/>
            <w:vAlign w:val="center"/>
            <w:shd w:fill="F8FAFC"/>
            <w:tcMar>
              <w:top w:w="90" w:type="dxa"/>
              <w:bottom w:w="90" w:type="dxa"/>
              <w:start w:w="120" w:type="dxa"/>
              <w:end w:w="120" w:type="dxa"/>
            </w:tcMar>
          </w:tcPr>
          <w:p>
            <w:pPr>
              <w:spacing w:after="0" w:line="247" w:lineRule="auto"/>
            </w:pPr>
            <w:r>
              <w:rPr>
                <w:rFonts w:ascii="Calibri" w:hAnsi="Calibri"/>
                <w:b/>
                <w:color w:val="2E74B5"/>
                <w:sz w:val="15"/>
              </w:rPr>
              <w:t>Útil como contingencia</w:t>
            </w:r>
          </w:p>
        </w:tc>
      </w:tr>
    </w:tbl>
    <w:p>
      <w:pPr>
        <w:keepLines/>
        <w:spacing w:after="40"/>
      </w:pPr>
    </w:p>
    <w:tbl>
      <w:tblPr>
        <w:tblW w:type="dxa" w:w="9360"/>
        <w:jc w:val="left"/>
        <w:tblLayout w:type="fixed"/>
        <w:tblLook w:firstColumn="1" w:firstRow="1" w:lastColumn="0" w:lastRow="0" w:noHBand="0" w:noVBand="1" w:val="04A0"/>
        <w:tblInd w:type="dxa" w:w="180"/>
      </w:tblPr>
      <w:tblGrid>
        <w:gridCol w:w="9360"/>
      </w:tblGrid>
      <w:tr>
        <w:trPr>
          <w:tblHeader w:val="true"/>
        </w:trPr>
        <w:tc>
          <w:tcPr>
            <w:tcW w:type="dxa" w:w="9360"/>
            <w:shd w:fill="EAF2F8"/>
            <w:tcBorders>
              <w:top w:val="nil"/>
              <w:left w:val="single" w:sz="26" w:space="0" w:color="2E74B5"/>
              <w:bottom w:val="nil"/>
              <w:right w:val="nil"/>
            </w:tcBorders>
            <w:tcMar>
              <w:top w:w="130" w:type="dxa"/>
              <w:bottom w:w="130" w:type="dxa"/>
              <w:start w:w="180" w:type="dxa"/>
              <w:end w:w="180" w:type="dxa"/>
            </w:tcMar>
          </w:tcPr>
          <w:p>
            <w:pPr>
              <w:spacing w:after="40"/>
            </w:pPr>
            <w:r>
              <w:rPr>
                <w:rFonts w:ascii="Calibri" w:hAnsi="Calibri"/>
                <w:b/>
                <w:color w:val="2E74B5"/>
                <w:sz w:val="18"/>
              </w:rPr>
              <w:t>PUNTO DE DECISIÓN</w:t>
            </w:r>
          </w:p>
          <w:p>
            <w:pPr>
              <w:spacing w:after="20" w:line="259" w:lineRule="auto"/>
            </w:pPr>
            <w:r>
              <w:rPr>
                <w:rFonts w:ascii="Calibri" w:hAnsi="Calibri"/>
                <w:b/>
                <w:color w:val="1F2937"/>
                <w:sz w:val="21"/>
              </w:rPr>
              <w:t>La disposición de Astroselling habilita dos caminos de ahorro: desarrollar su integración con VTEX o usar su conector documentado con Tiendanube. Ambos requieren una comparación de TCO y una prueba. La opción VTEX debe probar el conector; la opción Tiendanube debe probar, además, que el desarrollo custom alcanza la calidad visual esperada.</w:t>
            </w:r>
          </w:p>
        </w:tc>
      </w:tr>
    </w:tbl>
    <w:p>
      <w:pPr>
        <w:keepLines/>
        <w:spacing w:after="20"/>
      </w:pPr>
    </w:p>
    <w:p>
      <w:pPr>
        <w:pStyle w:val="Heading2"/>
        <w:keepNext/>
        <w:keepLines/>
      </w:pPr>
      <w:r>
        <w:t>Producteca vs. Astroselling</w:t>
      </w:r>
    </w:p>
    <w:tbl>
      <w:tblPr>
        <w:tblStyle w:val="TableGrid"/>
        <w:tblW w:type="dxa" w:w="9360"/>
        <w:jc w:val="left"/>
        <w:tblLayout w:type="fixed"/>
        <w:tblLook w:firstColumn="1" w:firstRow="1" w:lastColumn="0" w:lastRow="0" w:noHBand="0" w:noVBand="1" w:val="04A0"/>
        <w:tblInd w:type="dxa" w:w="120"/>
      </w:tblPr>
      <w:tblGrid>
        <w:gridCol w:w="1650"/>
        <w:gridCol w:w="3000"/>
        <w:gridCol w:w="3210"/>
        <w:gridCol w:w="1500"/>
      </w:tblGrid>
      <w:tr>
        <w:trPr>
          <w:tblHeader w:val="true"/>
        </w:trPr>
        <w:tc>
          <w:tcPr>
            <w:tcW w:type="dxa" w:w="1650"/>
            <w:shd w:fill="17365D"/>
            <w:vAlign w:val="center"/>
            <w:tcMar>
              <w:top w:w="90" w:type="dxa"/>
              <w:bottom w:w="90" w:type="dxa"/>
              <w:start w:w="120" w:type="dxa"/>
              <w:end w:w="120" w:type="dxa"/>
            </w:tcMar>
          </w:tcPr>
          <w:p>
            <w:pPr>
              <w:spacing w:after="0"/>
              <w:jc w:val="left"/>
            </w:pPr>
            <w:r>
              <w:rPr>
                <w:rFonts w:ascii="Calibri" w:hAnsi="Calibri"/>
                <w:b/>
                <w:color w:val="FFFFFF"/>
                <w:sz w:val="17"/>
              </w:rPr>
              <w:t>Tema</w:t>
            </w:r>
          </w:p>
        </w:tc>
        <w:tc>
          <w:tcPr>
            <w:tcW w:type="dxa" w:w="3000"/>
            <w:shd w:fill="17365D"/>
            <w:vAlign w:val="center"/>
            <w:tcMar>
              <w:top w:w="90" w:type="dxa"/>
              <w:bottom w:w="90" w:type="dxa"/>
              <w:start w:w="120" w:type="dxa"/>
              <w:end w:w="120" w:type="dxa"/>
            </w:tcMar>
          </w:tcPr>
          <w:p>
            <w:pPr>
              <w:spacing w:after="0"/>
              <w:jc w:val="left"/>
            </w:pPr>
            <w:r>
              <w:rPr>
                <w:rFonts w:ascii="Calibri" w:hAnsi="Calibri"/>
                <w:b/>
                <w:color w:val="FFFFFF"/>
                <w:sz w:val="17"/>
              </w:rPr>
              <w:t>Producteca</w:t>
            </w:r>
          </w:p>
        </w:tc>
        <w:tc>
          <w:tcPr>
            <w:tcW w:type="dxa" w:w="3210"/>
            <w:shd w:fill="17365D"/>
            <w:vAlign w:val="center"/>
            <w:tcMar>
              <w:top w:w="90" w:type="dxa"/>
              <w:bottom w:w="90" w:type="dxa"/>
              <w:start w:w="120" w:type="dxa"/>
              <w:end w:w="120" w:type="dxa"/>
            </w:tcMar>
          </w:tcPr>
          <w:p>
            <w:pPr>
              <w:spacing w:after="0"/>
              <w:jc w:val="left"/>
            </w:pPr>
            <w:r>
              <w:rPr>
                <w:rFonts w:ascii="Calibri" w:hAnsi="Calibri"/>
                <w:b/>
                <w:color w:val="FFFFFF"/>
                <w:sz w:val="17"/>
              </w:rPr>
              <w:t>Astroselling</w:t>
            </w:r>
          </w:p>
        </w:tc>
        <w:tc>
          <w:tcPr>
            <w:tcW w:type="dxa" w:w="1500"/>
            <w:shd w:fill="17365D"/>
            <w:vAlign w:val="center"/>
            <w:tcMar>
              <w:top w:w="90" w:type="dxa"/>
              <w:bottom w:w="90" w:type="dxa"/>
              <w:start w:w="120" w:type="dxa"/>
              <w:end w:w="120" w:type="dxa"/>
            </w:tcMar>
          </w:tcPr>
          <w:p>
            <w:pPr>
              <w:spacing w:after="0"/>
              <w:jc w:val="left"/>
            </w:pPr>
            <w:r>
              <w:rPr>
                <w:rFonts w:ascii="Calibri" w:hAnsi="Calibri"/>
                <w:b/>
                <w:color w:val="FFFFFF"/>
                <w:sz w:val="17"/>
              </w:rPr>
              <w:t>Lectura</w:t>
            </w:r>
          </w:p>
        </w:tc>
      </w:tr>
      <w:tr>
        <w:trPr/>
        <w:tc>
          <w:tcPr>
            <w:tcW w:type="dxa" w:w="1650"/>
            <w:vAlign w:val="center"/>
            <w:tcMar>
              <w:top w:w="90" w:type="dxa"/>
              <w:bottom w:w="90" w:type="dxa"/>
              <w:start w:w="120" w:type="dxa"/>
              <w:end w:w="120" w:type="dxa"/>
            </w:tcMar>
          </w:tcPr>
          <w:p>
            <w:pPr>
              <w:spacing w:after="0" w:line="247" w:lineRule="auto"/>
            </w:pPr>
            <w:r>
              <w:rPr>
                <w:rFonts w:ascii="Calibri" w:hAnsi="Calibri"/>
                <w:b/>
                <w:color w:val="1F2937"/>
                <w:sz w:val="15"/>
              </w:rPr>
              <w:t>VTEX</w:t>
            </w:r>
          </w:p>
        </w:tc>
        <w:tc>
          <w:tcPr>
            <w:tcW w:type="dxa" w:w="3000"/>
            <w:vAlign w:val="center"/>
            <w:tcMar>
              <w:top w:w="90" w:type="dxa"/>
              <w:bottom w:w="90" w:type="dxa"/>
              <w:start w:w="120" w:type="dxa"/>
              <w:end w:w="120" w:type="dxa"/>
            </w:tcMar>
          </w:tcPr>
          <w:p>
            <w:pPr>
              <w:spacing w:after="0" w:line="247" w:lineRule="auto"/>
            </w:pPr>
            <w:r>
              <w:rPr>
                <w:rFonts w:ascii="Calibri" w:hAnsi="Calibri"/>
                <w:b w:val="0"/>
                <w:color w:val="1F2937"/>
                <w:sz w:val="15"/>
              </w:rPr>
              <w:t>Integración específica publicada</w:t>
            </w:r>
          </w:p>
        </w:tc>
        <w:tc>
          <w:tcPr>
            <w:tcW w:type="dxa" w:w="3210"/>
            <w:vAlign w:val="center"/>
            <w:tcMar>
              <w:top w:w="90" w:type="dxa"/>
              <w:bottom w:w="90" w:type="dxa"/>
              <w:start w:w="120" w:type="dxa"/>
              <w:end w:w="120" w:type="dxa"/>
            </w:tcMar>
          </w:tcPr>
          <w:p>
            <w:pPr>
              <w:spacing w:after="0" w:line="247" w:lineRule="auto"/>
            </w:pPr>
            <w:r>
              <w:rPr>
                <w:rFonts w:ascii="Calibri" w:hAnsi="Calibri"/>
                <w:b w:val="0"/>
                <w:color w:val="1F2937"/>
                <w:sz w:val="15"/>
              </w:rPr>
              <w:t>Disposición comunicada a Saracho para desarrollarla; no figura como conector estándar público</w:t>
            </w:r>
          </w:p>
        </w:tc>
        <w:tc>
          <w:tcPr>
            <w:tcW w:type="dxa" w:w="1500"/>
            <w:vAlign w:val="center"/>
            <w:tcMar>
              <w:top w:w="90" w:type="dxa"/>
              <w:bottom w:w="90" w:type="dxa"/>
              <w:start w:w="120" w:type="dxa"/>
              <w:end w:w="120" w:type="dxa"/>
            </w:tcMar>
          </w:tcPr>
          <w:p>
            <w:pPr>
              <w:spacing w:after="0" w:line="247" w:lineRule="auto"/>
            </w:pPr>
            <w:r>
              <w:rPr>
                <w:rFonts w:ascii="Calibri" w:hAnsi="Calibri"/>
                <w:b w:val="0"/>
                <w:color w:val="1F2937"/>
                <w:sz w:val="15"/>
              </w:rPr>
              <w:t>Potencial a validar</w:t>
            </w:r>
          </w:p>
        </w:tc>
      </w:tr>
      <w:tr>
        <w:trPr/>
        <w:tc>
          <w:tcPr>
            <w:tcW w:type="dxa" w:w="1650"/>
            <w:vAlign w:val="center"/>
            <w:shd w:fill="F8FAFC"/>
            <w:tcMar>
              <w:top w:w="90" w:type="dxa"/>
              <w:bottom w:w="90" w:type="dxa"/>
              <w:start w:w="120" w:type="dxa"/>
              <w:end w:w="120" w:type="dxa"/>
            </w:tcMar>
          </w:tcPr>
          <w:p>
            <w:pPr>
              <w:spacing w:after="0" w:line="247" w:lineRule="auto"/>
            </w:pPr>
            <w:r>
              <w:rPr>
                <w:rFonts w:ascii="Calibri" w:hAnsi="Calibri"/>
                <w:b/>
                <w:color w:val="1F2937"/>
                <w:sz w:val="15"/>
              </w:rPr>
              <w:t>Tiendanube</w:t>
            </w:r>
          </w:p>
        </w:tc>
        <w:tc>
          <w:tcPr>
            <w:tcW w:type="dxa" w:w="300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Integración disponible</w:t>
            </w:r>
          </w:p>
        </w:tc>
        <w:tc>
          <w:tcPr>
            <w:tcW w:type="dxa" w:w="321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Integración documentada por Tiendanube y Astroselling</w:t>
            </w:r>
          </w:p>
        </w:tc>
        <w:tc>
          <w:tcPr>
            <w:tcW w:type="dxa" w:w="150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Ambos viables</w:t>
            </w:r>
          </w:p>
        </w:tc>
      </w:tr>
      <w:tr>
        <w:trPr/>
        <w:tc>
          <w:tcPr>
            <w:tcW w:type="dxa" w:w="1650"/>
            <w:vAlign w:val="center"/>
            <w:tcMar>
              <w:top w:w="90" w:type="dxa"/>
              <w:bottom w:w="90" w:type="dxa"/>
              <w:start w:w="120" w:type="dxa"/>
              <w:end w:w="120" w:type="dxa"/>
            </w:tcMar>
          </w:tcPr>
          <w:p>
            <w:pPr>
              <w:spacing w:after="0" w:line="247" w:lineRule="auto"/>
            </w:pPr>
            <w:r>
              <w:rPr>
                <w:rFonts w:ascii="Calibri" w:hAnsi="Calibri"/>
                <w:b/>
                <w:color w:val="1F2937"/>
                <w:sz w:val="15"/>
              </w:rPr>
              <w:t>Catálogo/stock/precio</w:t>
            </w:r>
          </w:p>
        </w:tc>
        <w:tc>
          <w:tcPr>
            <w:tcW w:type="dxa" w:w="3000"/>
            <w:vAlign w:val="center"/>
            <w:tcMar>
              <w:top w:w="90" w:type="dxa"/>
              <w:bottom w:w="90" w:type="dxa"/>
              <w:start w:w="120" w:type="dxa"/>
              <w:end w:w="120" w:type="dxa"/>
            </w:tcMar>
          </w:tcPr>
          <w:p>
            <w:pPr>
              <w:spacing w:after="0" w:line="247" w:lineRule="auto"/>
            </w:pPr>
            <w:r>
              <w:rPr>
                <w:rFonts w:ascii="Calibri" w:hAnsi="Calibri"/>
                <w:b w:val="0"/>
                <w:color w:val="1F2937"/>
                <w:sz w:val="15"/>
              </w:rPr>
              <w:t>Sincronización y publicación multicanal</w:t>
            </w:r>
          </w:p>
        </w:tc>
        <w:tc>
          <w:tcPr>
            <w:tcW w:type="dxa" w:w="3210"/>
            <w:vAlign w:val="center"/>
            <w:tcMar>
              <w:top w:w="90" w:type="dxa"/>
              <w:bottom w:w="90" w:type="dxa"/>
              <w:start w:w="120" w:type="dxa"/>
              <w:end w:w="120" w:type="dxa"/>
            </w:tcMar>
          </w:tcPr>
          <w:p>
            <w:pPr>
              <w:spacing w:after="0" w:line="247" w:lineRule="auto"/>
            </w:pPr>
            <w:r>
              <w:rPr>
                <w:rFonts w:ascii="Calibri" w:hAnsi="Calibri"/>
                <w:b w:val="0"/>
                <w:color w:val="1F2937"/>
                <w:sz w:val="15"/>
              </w:rPr>
              <w:t>Sincronización, reglas de stock/precio, publicación y enlaces</w:t>
            </w:r>
          </w:p>
        </w:tc>
        <w:tc>
          <w:tcPr>
            <w:tcW w:type="dxa" w:w="1500"/>
            <w:vAlign w:val="center"/>
            <w:tcMar>
              <w:top w:w="90" w:type="dxa"/>
              <w:bottom w:w="90" w:type="dxa"/>
              <w:start w:w="120" w:type="dxa"/>
              <w:end w:w="120" w:type="dxa"/>
            </w:tcMar>
          </w:tcPr>
          <w:p>
            <w:pPr>
              <w:spacing w:after="0" w:line="247" w:lineRule="auto"/>
            </w:pPr>
            <w:r>
              <w:rPr>
                <w:rFonts w:ascii="Calibri" w:hAnsi="Calibri"/>
                <w:b w:val="0"/>
                <w:color w:val="1F2937"/>
                <w:sz w:val="15"/>
              </w:rPr>
              <w:t>Validar equivalencia</w:t>
            </w:r>
          </w:p>
        </w:tc>
      </w:tr>
      <w:tr>
        <w:trPr/>
        <w:tc>
          <w:tcPr>
            <w:tcW w:type="dxa" w:w="1650"/>
            <w:vAlign w:val="center"/>
            <w:shd w:fill="F8FAFC"/>
            <w:tcMar>
              <w:top w:w="90" w:type="dxa"/>
              <w:bottom w:w="90" w:type="dxa"/>
              <w:start w:w="120" w:type="dxa"/>
              <w:end w:w="120" w:type="dxa"/>
            </w:tcMar>
          </w:tcPr>
          <w:p>
            <w:pPr>
              <w:spacing w:after="0" w:line="247" w:lineRule="auto"/>
            </w:pPr>
            <w:r>
              <w:rPr>
                <w:rFonts w:ascii="Calibri" w:hAnsi="Calibri"/>
                <w:b/>
                <w:color w:val="1F2937"/>
                <w:sz w:val="15"/>
              </w:rPr>
              <w:t>Pedidos/facturación</w:t>
            </w:r>
          </w:p>
        </w:tc>
        <w:tc>
          <w:tcPr>
            <w:tcW w:type="dxa" w:w="300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Órdenes, envíos y facturas dentro de una plataforma de integración</w:t>
            </w:r>
          </w:p>
        </w:tc>
        <w:tc>
          <w:tcPr>
            <w:tcW w:type="dxa" w:w="321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Centraliza órdenes; factura si existe ERP/facturador conectado</w:t>
            </w:r>
          </w:p>
        </w:tc>
        <w:tc>
          <w:tcPr>
            <w:tcW w:type="dxa" w:w="150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Validar flujo real</w:t>
            </w:r>
          </w:p>
        </w:tc>
      </w:tr>
      <w:tr>
        <w:trPr/>
        <w:tc>
          <w:tcPr>
            <w:tcW w:type="dxa" w:w="1650"/>
            <w:vAlign w:val="center"/>
            <w:tcMar>
              <w:top w:w="90" w:type="dxa"/>
              <w:bottom w:w="90" w:type="dxa"/>
              <w:start w:w="120" w:type="dxa"/>
              <w:end w:w="120" w:type="dxa"/>
            </w:tcMar>
          </w:tcPr>
          <w:p>
            <w:pPr>
              <w:spacing w:after="0" w:line="247" w:lineRule="auto"/>
            </w:pPr>
            <w:r>
              <w:rPr>
                <w:rFonts w:ascii="Calibri" w:hAnsi="Calibri"/>
                <w:b/>
                <w:color w:val="1F2937"/>
                <w:sz w:val="15"/>
              </w:rPr>
              <w:t>Monitoreo/SLA</w:t>
            </w:r>
          </w:p>
        </w:tc>
        <w:tc>
          <w:tcPr>
            <w:tcW w:type="dxa" w:w="3000"/>
            <w:vAlign w:val="center"/>
            <w:tcMar>
              <w:top w:w="90" w:type="dxa"/>
              <w:bottom w:w="90" w:type="dxa"/>
              <w:start w:w="120" w:type="dxa"/>
              <w:end w:w="120" w:type="dxa"/>
            </w:tcMar>
          </w:tcPr>
          <w:p>
            <w:pPr>
              <w:spacing w:after="0" w:line="247" w:lineRule="auto"/>
            </w:pPr>
            <w:r>
              <w:rPr>
                <w:rFonts w:ascii="Calibri" w:hAnsi="Calibri"/>
                <w:b w:val="0"/>
                <w:color w:val="1F2937"/>
                <w:sz w:val="15"/>
              </w:rPr>
              <w:t>Producteca publica centro de monitoreo, ISO 27001 y SLA según plan</w:t>
            </w:r>
          </w:p>
        </w:tc>
        <w:tc>
          <w:tcPr>
            <w:tcW w:type="dxa" w:w="3210"/>
            <w:vAlign w:val="center"/>
            <w:tcMar>
              <w:top w:w="90" w:type="dxa"/>
              <w:bottom w:w="90" w:type="dxa"/>
              <w:start w:w="120" w:type="dxa"/>
              <w:end w:w="120" w:type="dxa"/>
            </w:tcMar>
          </w:tcPr>
          <w:p>
            <w:pPr>
              <w:spacing w:after="0" w:line="247" w:lineRule="auto"/>
            </w:pPr>
            <w:r>
              <w:rPr>
                <w:rFonts w:ascii="Calibri" w:hAnsi="Calibri"/>
                <w:b w:val="0"/>
                <w:color w:val="1F2937"/>
                <w:sz w:val="15"/>
              </w:rPr>
              <w:t>Revisar SLA, soporte, auditoría y recuperación contractual</w:t>
            </w:r>
          </w:p>
        </w:tc>
        <w:tc>
          <w:tcPr>
            <w:tcW w:type="dxa" w:w="1500"/>
            <w:vAlign w:val="center"/>
            <w:tcMar>
              <w:top w:w="90" w:type="dxa"/>
              <w:bottom w:w="90" w:type="dxa"/>
              <w:start w:w="120" w:type="dxa"/>
              <w:end w:w="120" w:type="dxa"/>
            </w:tcMar>
          </w:tcPr>
          <w:p>
            <w:pPr>
              <w:spacing w:after="0" w:line="247" w:lineRule="auto"/>
            </w:pPr>
            <w:r>
              <w:rPr>
                <w:rFonts w:ascii="Calibri" w:hAnsi="Calibri"/>
                <w:b w:val="0"/>
                <w:color w:val="1F2937"/>
                <w:sz w:val="15"/>
              </w:rPr>
              <w:t>Ventaja a comprobar</w:t>
            </w:r>
          </w:p>
        </w:tc>
      </w:tr>
      <w:tr>
        <w:trPr/>
        <w:tc>
          <w:tcPr>
            <w:tcW w:type="dxa" w:w="1650"/>
            <w:vAlign w:val="center"/>
            <w:shd w:fill="F8FAFC"/>
            <w:tcMar>
              <w:top w:w="90" w:type="dxa"/>
              <w:bottom w:w="90" w:type="dxa"/>
              <w:start w:w="120" w:type="dxa"/>
              <w:end w:w="120" w:type="dxa"/>
            </w:tcMar>
          </w:tcPr>
          <w:p>
            <w:pPr>
              <w:spacing w:after="0" w:line="247" w:lineRule="auto"/>
            </w:pPr>
            <w:r>
              <w:rPr>
                <w:rFonts w:ascii="Calibri" w:hAnsi="Calibri"/>
                <w:b/>
                <w:color w:val="1F2937"/>
                <w:sz w:val="15"/>
              </w:rPr>
              <w:t>Precio público</w:t>
            </w:r>
          </w:p>
        </w:tc>
        <w:tc>
          <w:tcPr>
            <w:tcW w:type="dxa" w:w="300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No fijo; términos contemplan implementación, fee, usuarios/canales y desarrollo</w:t>
            </w:r>
          </w:p>
        </w:tc>
        <w:tc>
          <w:tcPr>
            <w:tcW w:type="dxa" w:w="321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Planes publicados en USD con límites por canales, SKU y órdenes</w:t>
            </w:r>
          </w:p>
        </w:tc>
        <w:tc>
          <w:tcPr>
            <w:tcW w:type="dxa" w:w="150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Ventaja Astroselling</w:t>
            </w:r>
          </w:p>
        </w:tc>
      </w:tr>
    </w:tbl>
    <w:p>
      <w:pPr>
        <w:keepLines/>
        <w:spacing w:after="40"/>
      </w:pPr>
    </w:p>
    <w:p>
      <w:pPr>
        <w:spacing w:before="80" w:after="80"/>
      </w:pPr>
      <w:r>
        <w:rPr>
          <w:rFonts w:ascii="Calibri" w:hAnsi="Calibri"/>
          <w:i/>
          <w:color w:val="5B6573"/>
          <w:sz w:val="16"/>
        </w:rPr>
        <w:t>Fuentes oficiales: Producteca publica su integración con VTEX; Astroselling publica sus conectores de e-commerce y Tiendanube documenta la instalación de Astroselling. La disposición de Astroselling a integrar VTEX surge de conversaciones mantenidas por Saracho Neumáticos.</w:t>
      </w:r>
    </w:p>
    <w:p>
      <w:pPr>
        <w:keepLines/>
      </w:pPr>
      <w:r>
        <w:br w:type="page"/>
      </w:r>
    </w:p>
    <w:p>
      <w:pPr>
        <w:pStyle w:val="Heading1"/>
        <w:keepNext/>
        <w:keepLines/>
      </w:pPr>
      <w:r>
        <w:t>4. Costos: comparar TCO, no solo licencias</w:t>
      </w:r>
    </w:p>
    <w:p>
      <w:pPr>
        <w:spacing w:after="120"/>
      </w:pPr>
      <w:r>
        <w:rPr>
          <w:rFonts w:ascii="Calibri" w:hAnsi="Calibri"/>
          <w:i w:val="0"/>
          <w:color w:val="1F2937"/>
        </w:rPr>
        <w:t>La comparación correcta es a 24 meses y debe incluir costos visibles y ocultos. Un plan más económico puede resultar más caro si exige desarrollo, conciliaciones manuales, pérdida de ventas por stock incorrecto o recreación de funcionalidades.</w:t>
      </w:r>
    </w:p>
    <w:tbl>
      <w:tblPr>
        <w:tblW w:type="dxa" w:w="9360"/>
        <w:jc w:val="left"/>
        <w:tblLayout w:type="fixed"/>
        <w:tblLook w:firstColumn="1" w:firstRow="1" w:lastColumn="0" w:lastRow="0" w:noHBand="0" w:noVBand="1" w:val="04A0"/>
        <w:tblInd w:type="dxa" w:w="180"/>
      </w:tblPr>
      <w:tblGrid>
        <w:gridCol w:w="9360"/>
      </w:tblGrid>
      <w:tr>
        <w:trPr>
          <w:tblHeader w:val="true"/>
        </w:trPr>
        <w:tc>
          <w:tcPr>
            <w:tcW w:type="dxa" w:w="9360"/>
            <w:shd w:fill="EAF2F8"/>
            <w:tcBorders>
              <w:top w:val="nil"/>
              <w:left w:val="single" w:sz="26" w:space="0" w:color="2E74B5"/>
              <w:bottom w:val="nil"/>
              <w:right w:val="nil"/>
            </w:tcBorders>
            <w:tcMar>
              <w:top w:w="130" w:type="dxa"/>
              <w:bottom w:w="130" w:type="dxa"/>
              <w:start w:w="180" w:type="dxa"/>
              <w:end w:w="180" w:type="dxa"/>
            </w:tcMar>
          </w:tcPr>
          <w:p>
            <w:pPr>
              <w:spacing w:after="40"/>
            </w:pPr>
            <w:r>
              <w:rPr>
                <w:rFonts w:ascii="Calibri" w:hAnsi="Calibri"/>
                <w:b/>
                <w:color w:val="2E74B5"/>
                <w:sz w:val="18"/>
              </w:rPr>
              <w:t>FÓRMULA RECOMENDADA</w:t>
            </w:r>
          </w:p>
          <w:p>
            <w:pPr>
              <w:spacing w:after="20" w:line="259" w:lineRule="auto"/>
            </w:pPr>
            <w:r>
              <w:rPr>
                <w:rFonts w:ascii="Calibri" w:hAnsi="Calibri"/>
                <w:b/>
                <w:color w:val="1F2937"/>
                <w:sz w:val="21"/>
              </w:rPr>
              <w:t>TCO mensual = plataforma + comisiones + integrador + multicanal + aplicaciones + desarrollo/soporte + costo operativo manual + impacto esperado de incidentes. A esto se suma la migración inicial amortizada en 24 meses.</w:t>
            </w:r>
          </w:p>
        </w:tc>
      </w:tr>
    </w:tbl>
    <w:p>
      <w:pPr>
        <w:keepLines/>
        <w:spacing w:after="20"/>
      </w:pPr>
    </w:p>
    <w:p>
      <w:pPr>
        <w:spacing w:after="120"/>
      </w:pPr>
      <w:r>
        <w:rPr>
          <w:rFonts w:ascii="Calibri" w:hAnsi="Calibri"/>
          <w:i w:val="0"/>
          <w:color w:val="1F2937"/>
        </w:rPr>
        <w:t>Con ventas bajas, además del TCO absoluto deben seguirse dos indicadores: costo tecnológico como porcentaje de las ventas netas y cantidad de pedidos necesaria para cubrir el costo fijo digital. Esto permite demostrar si la arquitectura actual está sobredimensionada para el nivel de actividad.</w:t>
      </w:r>
    </w:p>
    <w:p>
      <w:pPr>
        <w:pStyle w:val="ListBullet"/>
        <w:keepLines/>
        <w:ind w:left="720" w:hanging="360"/>
      </w:pPr>
      <w:r>
        <w:rPr>
          <w:rFonts w:ascii="Calibri" w:hAnsi="Calibri"/>
          <w:color w:val="1F2937"/>
        </w:rPr>
        <w:t>Carga tecnológica = TCO mensual / ventas netas mensuales.</w:t>
      </w:r>
    </w:p>
    <w:p>
      <w:pPr>
        <w:pStyle w:val="ListBullet"/>
        <w:keepLines/>
        <w:ind w:left="720" w:hanging="360"/>
      </w:pPr>
      <w:r>
        <w:rPr>
          <w:rFonts w:ascii="Calibri" w:hAnsi="Calibri"/>
          <w:color w:val="1F2937"/>
        </w:rPr>
        <w:t>Pedidos de equilibrio tecnológico = TCO mensual / margen de contribución promedio por pedido.</w:t>
      </w:r>
    </w:p>
    <w:p>
      <w:pPr>
        <w:pStyle w:val="ListBullet"/>
        <w:keepLines/>
        <w:ind w:left="720" w:hanging="360"/>
      </w:pPr>
      <w:r>
        <w:rPr>
          <w:rFonts w:ascii="Calibri" w:hAnsi="Calibri"/>
          <w:color w:val="1F2937"/>
        </w:rPr>
        <w:t>Ahorro de caja = TCO actual - TCO alternativo - amortización mensual de la migración.</w:t>
      </w:r>
    </w:p>
    <w:tbl>
      <w:tblPr>
        <w:tblStyle w:val="TableGrid"/>
        <w:tblW w:type="dxa" w:w="9360"/>
        <w:jc w:val="left"/>
        <w:tblLayout w:type="fixed"/>
        <w:tblLook w:firstColumn="1" w:firstRow="1" w:lastColumn="0" w:lastRow="0" w:noHBand="0" w:noVBand="1" w:val="04A0"/>
        <w:tblInd w:type="dxa" w:w="120"/>
      </w:tblPr>
      <w:tblGrid>
        <w:gridCol w:w="1800"/>
        <w:gridCol w:w="2450"/>
        <w:gridCol w:w="5110"/>
      </w:tblGrid>
      <w:tr>
        <w:trPr>
          <w:tblHeader w:val="true"/>
        </w:trPr>
        <w:tc>
          <w:tcPr>
            <w:tcW w:type="dxa" w:w="1800"/>
            <w:shd w:fill="17365D"/>
            <w:vAlign w:val="center"/>
            <w:tcMar>
              <w:top w:w="90" w:type="dxa"/>
              <w:bottom w:w="90" w:type="dxa"/>
              <w:start w:w="120" w:type="dxa"/>
              <w:end w:w="120" w:type="dxa"/>
            </w:tcMar>
          </w:tcPr>
          <w:p>
            <w:pPr>
              <w:spacing w:after="0"/>
              <w:jc w:val="left"/>
            </w:pPr>
            <w:r>
              <w:rPr>
                <w:rFonts w:ascii="Calibri" w:hAnsi="Calibri"/>
                <w:b/>
                <w:color w:val="FFFFFF"/>
                <w:sz w:val="17"/>
              </w:rPr>
              <w:t>Partida</w:t>
            </w:r>
          </w:p>
        </w:tc>
        <w:tc>
          <w:tcPr>
            <w:tcW w:type="dxa" w:w="2450"/>
            <w:shd w:fill="17365D"/>
            <w:vAlign w:val="center"/>
            <w:tcMar>
              <w:top w:w="90" w:type="dxa"/>
              <w:bottom w:w="90" w:type="dxa"/>
              <w:start w:w="120" w:type="dxa"/>
              <w:end w:w="120" w:type="dxa"/>
            </w:tcMar>
          </w:tcPr>
          <w:p>
            <w:pPr>
              <w:spacing w:after="0"/>
              <w:jc w:val="left"/>
            </w:pPr>
            <w:r>
              <w:rPr>
                <w:rFonts w:ascii="Calibri" w:hAnsi="Calibri"/>
                <w:b/>
                <w:color w:val="FFFFFF"/>
                <w:sz w:val="17"/>
              </w:rPr>
              <w:t>Dato requerido</w:t>
            </w:r>
          </w:p>
        </w:tc>
        <w:tc>
          <w:tcPr>
            <w:tcW w:type="dxa" w:w="5110"/>
            <w:shd w:fill="17365D"/>
            <w:vAlign w:val="center"/>
            <w:tcMar>
              <w:top w:w="90" w:type="dxa"/>
              <w:bottom w:w="90" w:type="dxa"/>
              <w:start w:w="120" w:type="dxa"/>
              <w:end w:w="120" w:type="dxa"/>
            </w:tcMar>
          </w:tcPr>
          <w:p>
            <w:pPr>
              <w:spacing w:after="0"/>
              <w:jc w:val="left"/>
            </w:pPr>
            <w:r>
              <w:rPr>
                <w:rFonts w:ascii="Calibri" w:hAnsi="Calibri"/>
                <w:b/>
                <w:color w:val="FFFFFF"/>
                <w:sz w:val="17"/>
              </w:rPr>
              <w:t>Qué incluir</w:t>
            </w:r>
          </w:p>
        </w:tc>
      </w:tr>
      <w:tr>
        <w:trPr/>
        <w:tc>
          <w:tcPr>
            <w:tcW w:type="dxa" w:w="1800"/>
            <w:vAlign w:val="center"/>
            <w:tcMar>
              <w:top w:w="90" w:type="dxa"/>
              <w:bottom w:w="90" w:type="dxa"/>
              <w:start w:w="120" w:type="dxa"/>
              <w:end w:w="120" w:type="dxa"/>
            </w:tcMar>
          </w:tcPr>
          <w:p>
            <w:pPr>
              <w:spacing w:after="0" w:line="247" w:lineRule="auto"/>
            </w:pPr>
            <w:r>
              <w:rPr>
                <w:rFonts w:ascii="Calibri" w:hAnsi="Calibri"/>
                <w:b/>
                <w:color w:val="1F2937"/>
                <w:sz w:val="16"/>
              </w:rPr>
              <w:t>VTEX</w:t>
            </w:r>
          </w:p>
        </w:tc>
        <w:tc>
          <w:tcPr>
            <w:tcW w:type="dxa" w:w="2450"/>
            <w:vAlign w:val="center"/>
            <w:tcMar>
              <w:top w:w="90" w:type="dxa"/>
              <w:bottom w:w="90" w:type="dxa"/>
              <w:start w:w="120" w:type="dxa"/>
              <w:end w:w="120" w:type="dxa"/>
            </w:tcMar>
          </w:tcPr>
          <w:p>
            <w:pPr>
              <w:spacing w:after="0" w:line="247" w:lineRule="auto"/>
            </w:pPr>
            <w:r>
              <w:rPr>
                <w:rFonts w:ascii="Calibri" w:hAnsi="Calibri"/>
                <w:b w:val="0"/>
                <w:color w:val="1F2937"/>
                <w:sz w:val="16"/>
              </w:rPr>
              <w:t>Cotización/contrato vigente</w:t>
            </w:r>
          </w:p>
        </w:tc>
        <w:tc>
          <w:tcPr>
            <w:tcW w:type="dxa" w:w="5110"/>
            <w:vAlign w:val="center"/>
            <w:tcMar>
              <w:top w:w="90" w:type="dxa"/>
              <w:bottom w:w="90" w:type="dxa"/>
              <w:start w:w="120" w:type="dxa"/>
              <w:end w:w="120" w:type="dxa"/>
            </w:tcMar>
          </w:tcPr>
          <w:p>
            <w:pPr>
              <w:spacing w:after="0" w:line="247" w:lineRule="auto"/>
            </w:pPr>
            <w:r>
              <w:rPr>
                <w:rFonts w:ascii="Calibri" w:hAnsi="Calibri"/>
                <w:b w:val="0"/>
                <w:color w:val="1F2937"/>
                <w:sz w:val="16"/>
              </w:rPr>
              <w:t>Licencia y condiciones comerciales; no usar estimaciones genéricas</w:t>
            </w:r>
          </w:p>
        </w:tc>
      </w:tr>
      <w:tr>
        <w:trPr/>
        <w:tc>
          <w:tcPr>
            <w:tcW w:type="dxa" w:w="1800"/>
            <w:vAlign w:val="center"/>
            <w:shd w:fill="F8FAFC"/>
            <w:tcMar>
              <w:top w:w="90" w:type="dxa"/>
              <w:bottom w:w="90" w:type="dxa"/>
              <w:start w:w="120" w:type="dxa"/>
              <w:end w:w="120" w:type="dxa"/>
            </w:tcMar>
          </w:tcPr>
          <w:p>
            <w:pPr>
              <w:spacing w:after="0" w:line="247" w:lineRule="auto"/>
            </w:pPr>
            <w:r>
              <w:rPr>
                <w:rFonts w:ascii="Calibri" w:hAnsi="Calibri"/>
                <w:b/>
                <w:color w:val="1F2937"/>
                <w:sz w:val="16"/>
              </w:rPr>
              <w:t>Producteca</w:t>
            </w:r>
          </w:p>
        </w:tc>
        <w:tc>
          <w:tcPr>
            <w:tcW w:type="dxa" w:w="2450"/>
            <w:vAlign w:val="center"/>
            <w:shd w:fill="F8FAFC"/>
            <w:tcMar>
              <w:top w:w="90" w:type="dxa"/>
              <w:bottom w:w="90" w:type="dxa"/>
              <w:start w:w="120" w:type="dxa"/>
              <w:end w:w="120" w:type="dxa"/>
            </w:tcMar>
          </w:tcPr>
          <w:p>
            <w:pPr>
              <w:spacing w:after="0" w:line="247" w:lineRule="auto"/>
            </w:pPr>
            <w:r>
              <w:rPr>
                <w:rFonts w:ascii="Calibri" w:hAnsi="Calibri"/>
                <w:b w:val="0"/>
                <w:color w:val="1F2937"/>
                <w:sz w:val="16"/>
              </w:rPr>
              <w:t>Cotización/contrato vigente</w:t>
            </w:r>
          </w:p>
        </w:tc>
        <w:tc>
          <w:tcPr>
            <w:tcW w:type="dxa" w:w="5110"/>
            <w:vAlign w:val="center"/>
            <w:shd w:fill="F8FAFC"/>
            <w:tcMar>
              <w:top w:w="90" w:type="dxa"/>
              <w:bottom w:w="90" w:type="dxa"/>
              <w:start w:w="120" w:type="dxa"/>
              <w:end w:w="120" w:type="dxa"/>
            </w:tcMar>
          </w:tcPr>
          <w:p>
            <w:pPr>
              <w:spacing w:after="0" w:line="247" w:lineRule="auto"/>
            </w:pPr>
            <w:r>
              <w:rPr>
                <w:rFonts w:ascii="Calibri" w:hAnsi="Calibri"/>
                <w:b w:val="0"/>
                <w:color w:val="1F2937"/>
                <w:sz w:val="16"/>
              </w:rPr>
              <w:t>Implementación, customer success/KAM, fee por operación/canales/usuarios y desarrollos según términos</w:t>
            </w:r>
          </w:p>
        </w:tc>
      </w:tr>
      <w:tr>
        <w:trPr/>
        <w:tc>
          <w:tcPr>
            <w:tcW w:type="dxa" w:w="1800"/>
            <w:vAlign w:val="center"/>
            <w:tcMar>
              <w:top w:w="90" w:type="dxa"/>
              <w:bottom w:w="90" w:type="dxa"/>
              <w:start w:w="120" w:type="dxa"/>
              <w:end w:w="120" w:type="dxa"/>
            </w:tcMar>
          </w:tcPr>
          <w:p>
            <w:pPr>
              <w:spacing w:after="0" w:line="247" w:lineRule="auto"/>
            </w:pPr>
            <w:r>
              <w:rPr>
                <w:rFonts w:ascii="Calibri" w:hAnsi="Calibri"/>
                <w:b/>
                <w:color w:val="1F2937"/>
                <w:sz w:val="16"/>
              </w:rPr>
              <w:t>Pirce</w:t>
            </w:r>
          </w:p>
        </w:tc>
        <w:tc>
          <w:tcPr>
            <w:tcW w:type="dxa" w:w="2450"/>
            <w:vAlign w:val="center"/>
            <w:tcMar>
              <w:top w:w="90" w:type="dxa"/>
              <w:bottom w:w="90" w:type="dxa"/>
              <w:start w:w="120" w:type="dxa"/>
              <w:end w:w="120" w:type="dxa"/>
            </w:tcMar>
          </w:tcPr>
          <w:p>
            <w:pPr>
              <w:spacing w:after="0" w:line="247" w:lineRule="auto"/>
            </w:pPr>
            <w:r>
              <w:rPr>
                <w:rFonts w:ascii="Calibri" w:hAnsi="Calibri"/>
                <w:b w:val="0"/>
                <w:color w:val="1F2937"/>
                <w:sz w:val="16"/>
              </w:rPr>
              <w:t>Contrato y horas reales</w:t>
            </w:r>
          </w:p>
        </w:tc>
        <w:tc>
          <w:tcPr>
            <w:tcW w:type="dxa" w:w="5110"/>
            <w:vAlign w:val="center"/>
            <w:tcMar>
              <w:top w:w="90" w:type="dxa"/>
              <w:bottom w:w="90" w:type="dxa"/>
              <w:start w:w="120" w:type="dxa"/>
              <w:end w:w="120" w:type="dxa"/>
            </w:tcMar>
          </w:tcPr>
          <w:p>
            <w:pPr>
              <w:spacing w:after="0" w:line="247" w:lineRule="auto"/>
            </w:pPr>
            <w:r>
              <w:rPr>
                <w:rFonts w:ascii="Calibri" w:hAnsi="Calibri"/>
                <w:b w:val="0"/>
                <w:color w:val="1F2937"/>
                <w:sz w:val="16"/>
              </w:rPr>
              <w:t>Abono, alcance, bolsas de horas, incidentes, desarrollos y dependencia</w:t>
            </w:r>
          </w:p>
        </w:tc>
      </w:tr>
      <w:tr>
        <w:trPr/>
        <w:tc>
          <w:tcPr>
            <w:tcW w:type="dxa" w:w="1800"/>
            <w:vAlign w:val="center"/>
            <w:shd w:fill="F8FAFC"/>
            <w:tcMar>
              <w:top w:w="90" w:type="dxa"/>
              <w:bottom w:w="90" w:type="dxa"/>
              <w:start w:w="120" w:type="dxa"/>
              <w:end w:w="120" w:type="dxa"/>
            </w:tcMar>
          </w:tcPr>
          <w:p>
            <w:pPr>
              <w:spacing w:after="0" w:line="247" w:lineRule="auto"/>
            </w:pPr>
            <w:r>
              <w:rPr>
                <w:rFonts w:ascii="Calibri" w:hAnsi="Calibri"/>
                <w:b/>
                <w:color w:val="1F2937"/>
                <w:sz w:val="16"/>
              </w:rPr>
              <w:t>Tiendanube</w:t>
            </w:r>
          </w:p>
        </w:tc>
        <w:tc>
          <w:tcPr>
            <w:tcW w:type="dxa" w:w="2450"/>
            <w:vAlign w:val="center"/>
            <w:shd w:fill="F8FAFC"/>
            <w:tcMar>
              <w:top w:w="90" w:type="dxa"/>
              <w:bottom w:w="90" w:type="dxa"/>
              <w:start w:w="120" w:type="dxa"/>
              <w:end w:w="120" w:type="dxa"/>
            </w:tcMar>
          </w:tcPr>
          <w:p>
            <w:pPr>
              <w:spacing w:after="0" w:line="247" w:lineRule="auto"/>
            </w:pPr>
            <w:r>
              <w:rPr>
                <w:rFonts w:ascii="Calibri" w:hAnsi="Calibri"/>
                <w:b w:val="0"/>
                <w:color w:val="1F2937"/>
                <w:sz w:val="16"/>
              </w:rPr>
              <w:t>Plan + transacciones + apps</w:t>
            </w:r>
          </w:p>
        </w:tc>
        <w:tc>
          <w:tcPr>
            <w:tcW w:type="dxa" w:w="5110"/>
            <w:vAlign w:val="center"/>
            <w:shd w:fill="F8FAFC"/>
            <w:tcMar>
              <w:top w:w="90" w:type="dxa"/>
              <w:bottom w:w="90" w:type="dxa"/>
              <w:start w:w="120" w:type="dxa"/>
              <w:end w:w="120" w:type="dxa"/>
            </w:tcMar>
          </w:tcPr>
          <w:p>
            <w:pPr>
              <w:spacing w:after="0" w:line="247" w:lineRule="auto"/>
            </w:pPr>
            <w:r>
              <w:rPr>
                <w:rFonts w:ascii="Calibri" w:hAnsi="Calibri"/>
                <w:b w:val="0"/>
                <w:color w:val="1F2937"/>
                <w:sz w:val="16"/>
              </w:rPr>
              <w:t>Plan, comisión con medios externos, Pago Nube, aplicaciones y plan necesario por centros/permisos</w:t>
            </w:r>
          </w:p>
        </w:tc>
      </w:tr>
      <w:tr>
        <w:trPr/>
        <w:tc>
          <w:tcPr>
            <w:tcW w:type="dxa" w:w="1800"/>
            <w:vAlign w:val="center"/>
            <w:tcMar>
              <w:top w:w="90" w:type="dxa"/>
              <w:bottom w:w="90" w:type="dxa"/>
              <w:start w:w="120" w:type="dxa"/>
              <w:end w:w="120" w:type="dxa"/>
            </w:tcMar>
          </w:tcPr>
          <w:p>
            <w:pPr>
              <w:spacing w:after="0" w:line="247" w:lineRule="auto"/>
            </w:pPr>
            <w:r>
              <w:rPr>
                <w:rFonts w:ascii="Calibri" w:hAnsi="Calibri"/>
                <w:b/>
                <w:color w:val="1F2937"/>
                <w:sz w:val="16"/>
              </w:rPr>
              <w:t>Astroselling</w:t>
            </w:r>
          </w:p>
        </w:tc>
        <w:tc>
          <w:tcPr>
            <w:tcW w:type="dxa" w:w="2450"/>
            <w:vAlign w:val="center"/>
            <w:tcMar>
              <w:top w:w="90" w:type="dxa"/>
              <w:bottom w:w="90" w:type="dxa"/>
              <w:start w:w="120" w:type="dxa"/>
              <w:end w:w="120" w:type="dxa"/>
            </w:tcMar>
          </w:tcPr>
          <w:p>
            <w:pPr>
              <w:spacing w:after="0" w:line="247" w:lineRule="auto"/>
            </w:pPr>
            <w:r>
              <w:rPr>
                <w:rFonts w:ascii="Calibri" w:hAnsi="Calibri"/>
                <w:b w:val="0"/>
                <w:color w:val="1F2937"/>
                <w:sz w:val="16"/>
              </w:rPr>
              <w:t>Plan + órdenes + posible API</w:t>
            </w:r>
          </w:p>
        </w:tc>
        <w:tc>
          <w:tcPr>
            <w:tcW w:type="dxa" w:w="5110"/>
            <w:vAlign w:val="center"/>
            <w:tcMar>
              <w:top w:w="90" w:type="dxa"/>
              <w:bottom w:w="90" w:type="dxa"/>
              <w:start w:w="120" w:type="dxa"/>
              <w:end w:w="120" w:type="dxa"/>
            </w:tcMar>
          </w:tcPr>
          <w:p>
            <w:pPr>
              <w:spacing w:after="0" w:line="247" w:lineRule="auto"/>
            </w:pPr>
            <w:r>
              <w:rPr>
                <w:rFonts w:ascii="Calibri" w:hAnsi="Calibri"/>
                <w:b w:val="0"/>
                <w:color w:val="1F2937"/>
                <w:sz w:val="16"/>
              </w:rPr>
              <w:t>Canales, SKU, órdenes excedentes, ERP/facturación, API y soporte</w:t>
            </w:r>
          </w:p>
        </w:tc>
      </w:tr>
      <w:tr>
        <w:trPr/>
        <w:tc>
          <w:tcPr>
            <w:tcW w:type="dxa" w:w="1800"/>
            <w:vAlign w:val="center"/>
            <w:shd w:fill="F8FAFC"/>
            <w:tcMar>
              <w:top w:w="90" w:type="dxa"/>
              <w:bottom w:w="90" w:type="dxa"/>
              <w:start w:w="120" w:type="dxa"/>
              <w:end w:w="120" w:type="dxa"/>
            </w:tcMar>
          </w:tcPr>
          <w:p>
            <w:pPr>
              <w:spacing w:after="0" w:line="247" w:lineRule="auto"/>
            </w:pPr>
            <w:r>
              <w:rPr>
                <w:rFonts w:ascii="Calibri" w:hAnsi="Calibri"/>
                <w:b/>
                <w:color w:val="1F2937"/>
                <w:sz w:val="16"/>
              </w:rPr>
              <w:t>Migración</w:t>
            </w:r>
          </w:p>
        </w:tc>
        <w:tc>
          <w:tcPr>
            <w:tcW w:type="dxa" w:w="2450"/>
            <w:vAlign w:val="center"/>
            <w:shd w:fill="F8FAFC"/>
            <w:tcMar>
              <w:top w:w="90" w:type="dxa"/>
              <w:bottom w:w="90" w:type="dxa"/>
              <w:start w:w="120" w:type="dxa"/>
              <w:end w:w="120" w:type="dxa"/>
            </w:tcMar>
          </w:tcPr>
          <w:p>
            <w:pPr>
              <w:spacing w:after="0" w:line="247" w:lineRule="auto"/>
            </w:pPr>
            <w:r>
              <w:rPr>
                <w:rFonts w:ascii="Calibri" w:hAnsi="Calibri"/>
                <w:b w:val="0"/>
                <w:color w:val="1F2937"/>
                <w:sz w:val="16"/>
              </w:rPr>
              <w:t>Proyecto único amortizado</w:t>
            </w:r>
          </w:p>
        </w:tc>
        <w:tc>
          <w:tcPr>
            <w:tcW w:type="dxa" w:w="5110"/>
            <w:vAlign w:val="center"/>
            <w:shd w:fill="F8FAFC"/>
            <w:tcMar>
              <w:top w:w="90" w:type="dxa"/>
              <w:bottom w:w="90" w:type="dxa"/>
              <w:start w:w="120" w:type="dxa"/>
              <w:end w:w="120" w:type="dxa"/>
            </w:tcMar>
          </w:tcPr>
          <w:p>
            <w:pPr>
              <w:spacing w:after="0" w:line="247" w:lineRule="auto"/>
            </w:pPr>
            <w:r>
              <w:rPr>
                <w:rFonts w:ascii="Calibri" w:hAnsi="Calibri"/>
                <w:b w:val="0"/>
                <w:color w:val="1F2937"/>
                <w:sz w:val="16"/>
              </w:rPr>
              <w:t>Catálogo, SEO, diseño, contenidos, clientes, promociones, analytics, QA, capacitación y doble operación</w:t>
            </w:r>
          </w:p>
        </w:tc>
      </w:tr>
    </w:tbl>
    <w:p>
      <w:pPr>
        <w:keepLines/>
        <w:spacing w:after="40"/>
      </w:pPr>
    </w:p>
    <w:p>
      <w:pPr>
        <w:pStyle w:val="Heading2"/>
        <w:keepNext/>
        <w:keepLines/>
      </w:pPr>
      <w:r>
        <w:t>Referencias públicas al 18/08/2026</w:t>
      </w:r>
    </w:p>
    <w:p>
      <w:pPr>
        <w:pStyle w:val="ListBullet"/>
        <w:ind w:left="720" w:hanging="360"/>
      </w:pPr>
      <w:r>
        <w:rPr>
          <w:rFonts w:ascii="Calibri" w:hAnsi="Calibri"/>
          <w:color w:val="1F2937"/>
        </w:rPr>
        <w:t>Tiendanube Argentina publica: Esencial ARS 26.999/mes, Impulso ARS 78.999/mes y Escala ARS 234.999/mes; Evolución se cotiza. Los costos por transacción con medios externos publicados son 2%, 1% y 0,7% según plan; con Pago Nube se informa sin costo de transacción de Tiendanube.</w:t>
      </w:r>
    </w:p>
    <w:p>
      <w:pPr>
        <w:pStyle w:val="ListBullet"/>
        <w:ind w:left="720" w:hanging="360"/>
      </w:pPr>
      <w:r>
        <w:rPr>
          <w:rFonts w:ascii="Calibri" w:hAnsi="Calibri"/>
          <w:color w:val="1F2937"/>
        </w:rPr>
        <w:t>Astroselling Argentina publica, con pago anual equivalente: Starter USD 22,42/mes, Pro USD 49,92/mes y Business USD 99,92/mes; también muestra valores mensuales superiores para Pro y Business. Los planes tienen límites de canales/SKU y cargos por órdenes excedentes.</w:t>
      </w:r>
    </w:p>
    <w:p>
      <w:pPr>
        <w:pStyle w:val="ListBullet"/>
        <w:ind w:left="720" w:hanging="360"/>
      </w:pPr>
      <w:r>
        <w:rPr>
          <w:rFonts w:ascii="Calibri" w:hAnsi="Calibri"/>
          <w:color w:val="1F2937"/>
        </w:rPr>
        <w:t>Producteca no muestra un precio simple comparable: sus términos describen implementación, servicios de customer success/KAM, licenciamiento según ventas/canales/usuarios y eventuales horas de desarrollo.</w:t>
      </w:r>
    </w:p>
    <w:p>
      <w:pPr>
        <w:keepLines/>
        <w:spacing w:before="80" w:after="80"/>
      </w:pPr>
      <w:r>
        <w:rPr>
          <w:rFonts w:ascii="Calibri" w:hAnsi="Calibri"/>
          <w:i/>
          <w:color w:val="5B6573"/>
          <w:sz w:val="16"/>
        </w:rPr>
        <w:t>Valores orientativos y volátiles. Revalidar con propuestas comerciales antes de decidir.</w:t>
      </w:r>
    </w:p>
    <w:p>
      <w:pPr>
        <w:pStyle w:val="Heading2"/>
        <w:keepNext/>
        <w:keepLines/>
      </w:pPr>
      <w:r>
        <w:t>Umbral sugerido para justificar la migración</w:t>
      </w:r>
    </w:p>
    <w:p>
      <w:pPr>
        <w:spacing w:after="120"/>
      </w:pPr>
      <w:r>
        <w:rPr>
          <w:rFonts w:ascii="Calibri" w:hAnsi="Calibri"/>
          <w:i w:val="0"/>
          <w:color w:val="1F2937"/>
        </w:rPr>
        <w:t>Dado el nivel bajo de ventas, priorizar alternativas que reduzcan al menos 25% del TCO actual y recuperen la inversión de migración dentro de 12 meses, sin dejar requisitos críticos sin solución ni degradar la experiencia visual. Estos porcentajes son criterios de gestión propuestos, no benchmarks del proveedor.</w:t>
      </w:r>
    </w:p>
    <w:p>
      <w:pPr>
        <w:pStyle w:val="Heading1"/>
        <w:keepNext/>
        <w:keepLines/>
      </w:pPr>
      <w:r>
        <w:t>5. Cuándo conviene cada opción</w:t>
      </w:r>
    </w:p>
    <w:p>
      <w:pPr>
        <w:pStyle w:val="Heading2"/>
        <w:keepNext/>
        <w:keepLines/>
      </w:pPr>
      <w:r>
        <w:t>Conviene continuar con VTEX cuando...</w:t>
      </w:r>
    </w:p>
    <w:p>
      <w:pPr>
        <w:pStyle w:val="ListBullet"/>
        <w:keepLines/>
        <w:ind w:left="720" w:hanging="360"/>
      </w:pPr>
      <w:r>
        <w:rPr>
          <w:rFonts w:ascii="Calibri" w:hAnsi="Calibri"/>
          <w:color w:val="1F2937"/>
        </w:rPr>
        <w:t>Las promociones, el checkout, los inventarios o el fulfillment tienen reglas que Tiendanube no resuelve sin múltiples apps o desarrollo.</w:t>
      </w:r>
    </w:p>
    <w:p>
      <w:pPr>
        <w:pStyle w:val="ListBullet"/>
        <w:keepLines/>
        <w:ind w:left="720" w:hanging="360"/>
      </w:pPr>
      <w:r>
        <w:rPr>
          <w:rFonts w:ascii="Calibri" w:hAnsi="Calibri"/>
          <w:color w:val="1F2937"/>
        </w:rPr>
        <w:t>La app VTEX IO de cuotas/promociones es crítica y no existe reemplazo equivalente.</w:t>
      </w:r>
    </w:p>
    <w:p>
      <w:pPr>
        <w:pStyle w:val="ListBullet"/>
        <w:keepLines/>
        <w:ind w:left="720" w:hanging="360"/>
      </w:pPr>
      <w:r>
        <w:rPr>
          <w:rFonts w:ascii="Calibri" w:hAnsi="Calibri"/>
          <w:color w:val="1F2937"/>
        </w:rPr>
        <w:t>La operación proyecta más canales, centros, marcas, B2B, sellers o una experiencia altamente personalizada.</w:t>
      </w:r>
    </w:p>
    <w:p>
      <w:pPr>
        <w:pStyle w:val="ListBullet"/>
        <w:keepLines/>
        <w:ind w:left="720" w:hanging="360"/>
      </w:pPr>
      <w:r>
        <w:rPr>
          <w:rFonts w:ascii="Calibri" w:hAnsi="Calibri"/>
          <w:color w:val="1F2937"/>
        </w:rPr>
        <w:t>La estabilidad del flujo Producteca-VTEX es buena y el ahorro potencial no compensa el riesgo de migración.</w:t>
      </w:r>
    </w:p>
    <w:p>
      <w:pPr>
        <w:pStyle w:val="Heading2"/>
        <w:keepNext/>
        <w:keepLines/>
      </w:pPr>
      <w:r>
        <w:t>Conviene evaluar Tiendanube + Astroselling cuando...</w:t>
      </w:r>
    </w:p>
    <w:p>
      <w:pPr>
        <w:pStyle w:val="ListBullet"/>
        <w:keepLines/>
        <w:ind w:left="720" w:hanging="360"/>
      </w:pPr>
      <w:r>
        <w:rPr>
          <w:rFonts w:ascii="Calibri" w:hAnsi="Calibri"/>
          <w:color w:val="1F2937"/>
        </w:rPr>
        <w:t>El negocio es principalmente B2C estándar, con catálogo manejable y foco en tienda propia + Mercado Libre.</w:t>
      </w:r>
    </w:p>
    <w:p>
      <w:pPr>
        <w:pStyle w:val="ListBullet"/>
        <w:keepLines/>
        <w:ind w:left="720" w:hanging="360"/>
      </w:pPr>
      <w:r>
        <w:rPr>
          <w:rFonts w:ascii="Calibri" w:hAnsi="Calibri"/>
          <w:color w:val="1F2937"/>
        </w:rPr>
        <w:t>La prioridad es reducir costo fijo, dependencia técnica y tiempo administrativo.</w:t>
      </w:r>
    </w:p>
    <w:p>
      <w:pPr>
        <w:pStyle w:val="ListBullet"/>
        <w:keepLines/>
        <w:ind w:left="720" w:hanging="360"/>
      </w:pPr>
      <w:r>
        <w:rPr>
          <w:rFonts w:ascii="Calibri" w:hAnsi="Calibri"/>
          <w:color w:val="1F2937"/>
        </w:rPr>
        <w:t>Los requerimientos críticos quedan cubiertos por el plan elegido y aplicaciones con soporte/SLA aceptables.</w:t>
      </w:r>
    </w:p>
    <w:p>
      <w:pPr>
        <w:pStyle w:val="ListBullet"/>
        <w:keepLines/>
        <w:ind w:left="720" w:hanging="360"/>
      </w:pPr>
      <w:r>
        <w:rPr>
          <w:rFonts w:ascii="Calibri" w:hAnsi="Calibri"/>
          <w:color w:val="1F2937"/>
        </w:rPr>
        <w:t>El ahorro a 24 meses supera migración, capacitación, doble operación y recreación de funciones.</w:t>
      </w:r>
    </w:p>
    <w:p>
      <w:pPr>
        <w:pStyle w:val="Heading2"/>
        <w:keepNext/>
        <w:keepLines/>
      </w:pPr>
      <w:r>
        <w:t>No aprobar VTEX + Astroselling cuando...</w:t>
      </w:r>
    </w:p>
    <w:p>
      <w:pPr>
        <w:pStyle w:val="ListBullet"/>
        <w:keepLines/>
        <w:ind w:left="720" w:hanging="360"/>
      </w:pPr>
      <w:r>
        <w:rPr>
          <w:rFonts w:ascii="Calibri" w:hAnsi="Calibri"/>
          <w:color w:val="1F2937"/>
        </w:rPr>
        <w:t>La conexión VTEX depende solo de una API genérica o trabajo a medida sin SLA de punta a punta.</w:t>
      </w:r>
    </w:p>
    <w:p>
      <w:pPr>
        <w:pStyle w:val="ListBullet"/>
        <w:keepLines/>
        <w:ind w:left="720" w:hanging="360"/>
      </w:pPr>
      <w:r>
        <w:rPr>
          <w:rFonts w:ascii="Calibri" w:hAnsi="Calibri"/>
          <w:color w:val="1F2937"/>
        </w:rPr>
        <w:t>No se puede demostrar sincronización bidireccional de variantes, atributos, precios, stocks y pedidos.</w:t>
      </w:r>
    </w:p>
    <w:p>
      <w:pPr>
        <w:pStyle w:val="ListBullet"/>
        <w:keepLines/>
        <w:ind w:left="720" w:hanging="360"/>
      </w:pPr>
      <w:r>
        <w:rPr>
          <w:rFonts w:ascii="Calibri" w:hAnsi="Calibri"/>
          <w:color w:val="1F2937"/>
        </w:rPr>
        <w:t>El ahorro de licencia se traslada a más horas de Pirce, conciliación manual o riesgo de sobreventa.</w:t>
      </w:r>
    </w:p>
    <w:p>
      <w:pPr>
        <w:pStyle w:val="Heading1"/>
        <w:keepNext/>
        <w:keepLines/>
      </w:pPr>
      <w:r>
        <w:t>6. Riesgos de migración y controles</w:t>
      </w:r>
    </w:p>
    <w:tbl>
      <w:tblPr>
        <w:tblStyle w:val="TableGrid"/>
        <w:tblW w:type="dxa" w:w="9360"/>
        <w:jc w:val="left"/>
        <w:tblLayout w:type="fixed"/>
        <w:tblLook w:firstColumn="1" w:firstRow="1" w:lastColumn="0" w:lastRow="0" w:noHBand="0" w:noVBand="1" w:val="04A0"/>
        <w:tblInd w:type="dxa" w:w="120"/>
      </w:tblPr>
      <w:tblGrid>
        <w:gridCol w:w="1750"/>
        <w:gridCol w:w="2900"/>
        <w:gridCol w:w="4710"/>
      </w:tblGrid>
      <w:tr>
        <w:trPr>
          <w:tblHeader w:val="true"/>
        </w:trPr>
        <w:tc>
          <w:tcPr>
            <w:tcW w:type="dxa" w:w="1750"/>
            <w:shd w:fill="17365D"/>
            <w:vAlign w:val="center"/>
            <w:tcMar>
              <w:top w:w="90" w:type="dxa"/>
              <w:bottom w:w="90" w:type="dxa"/>
              <w:start w:w="120" w:type="dxa"/>
              <w:end w:w="120" w:type="dxa"/>
            </w:tcMar>
          </w:tcPr>
          <w:p>
            <w:pPr>
              <w:spacing w:after="0"/>
              <w:jc w:val="left"/>
            </w:pPr>
            <w:r>
              <w:rPr>
                <w:rFonts w:ascii="Calibri" w:hAnsi="Calibri"/>
                <w:b/>
                <w:color w:val="FFFFFF"/>
                <w:sz w:val="17"/>
              </w:rPr>
              <w:t>Riesgo</w:t>
            </w:r>
          </w:p>
        </w:tc>
        <w:tc>
          <w:tcPr>
            <w:tcW w:type="dxa" w:w="2900"/>
            <w:shd w:fill="17365D"/>
            <w:vAlign w:val="center"/>
            <w:tcMar>
              <w:top w:w="90" w:type="dxa"/>
              <w:bottom w:w="90" w:type="dxa"/>
              <w:start w:w="120" w:type="dxa"/>
              <w:end w:w="120" w:type="dxa"/>
            </w:tcMar>
          </w:tcPr>
          <w:p>
            <w:pPr>
              <w:spacing w:after="0"/>
              <w:jc w:val="left"/>
            </w:pPr>
            <w:r>
              <w:rPr>
                <w:rFonts w:ascii="Calibri" w:hAnsi="Calibri"/>
                <w:b/>
                <w:color w:val="FFFFFF"/>
                <w:sz w:val="17"/>
              </w:rPr>
              <w:t>Impacto</w:t>
            </w:r>
          </w:p>
        </w:tc>
        <w:tc>
          <w:tcPr>
            <w:tcW w:type="dxa" w:w="4710"/>
            <w:shd w:fill="17365D"/>
            <w:vAlign w:val="center"/>
            <w:tcMar>
              <w:top w:w="90" w:type="dxa"/>
              <w:bottom w:w="90" w:type="dxa"/>
              <w:start w:w="120" w:type="dxa"/>
              <w:end w:w="120" w:type="dxa"/>
            </w:tcMar>
          </w:tcPr>
          <w:p>
            <w:pPr>
              <w:spacing w:after="0"/>
              <w:jc w:val="left"/>
            </w:pPr>
            <w:r>
              <w:rPr>
                <w:rFonts w:ascii="Calibri" w:hAnsi="Calibri"/>
                <w:b/>
                <w:color w:val="FFFFFF"/>
                <w:sz w:val="17"/>
              </w:rPr>
              <w:t>Control mínimo</w:t>
            </w:r>
          </w:p>
        </w:tc>
      </w:tr>
      <w:tr>
        <w:trPr/>
        <w:tc>
          <w:tcPr>
            <w:tcW w:type="dxa" w:w="1750"/>
            <w:vAlign w:val="center"/>
            <w:tcMar>
              <w:top w:w="90" w:type="dxa"/>
              <w:bottom w:w="90" w:type="dxa"/>
              <w:start w:w="120" w:type="dxa"/>
              <w:end w:w="120" w:type="dxa"/>
            </w:tcMar>
          </w:tcPr>
          <w:p>
            <w:pPr>
              <w:spacing w:after="0" w:line="247" w:lineRule="auto"/>
            </w:pPr>
            <w:r>
              <w:rPr>
                <w:rFonts w:ascii="Calibri" w:hAnsi="Calibri"/>
                <w:b/>
                <w:color w:val="1F2937"/>
                <w:sz w:val="15"/>
              </w:rPr>
              <w:t>Identidad de SKU</w:t>
            </w:r>
          </w:p>
        </w:tc>
        <w:tc>
          <w:tcPr>
            <w:tcW w:type="dxa" w:w="2900"/>
            <w:vAlign w:val="center"/>
            <w:tcMar>
              <w:top w:w="90" w:type="dxa"/>
              <w:bottom w:w="90" w:type="dxa"/>
              <w:start w:w="120" w:type="dxa"/>
              <w:end w:w="120" w:type="dxa"/>
            </w:tcMar>
          </w:tcPr>
          <w:p>
            <w:pPr>
              <w:spacing w:after="0" w:line="247" w:lineRule="auto"/>
            </w:pPr>
            <w:r>
              <w:rPr>
                <w:rFonts w:ascii="Calibri" w:hAnsi="Calibri"/>
                <w:b w:val="0"/>
                <w:color w:val="1F2937"/>
                <w:sz w:val="15"/>
              </w:rPr>
              <w:t>Enlaces incorrectos, duplicados o stock cruzado</w:t>
            </w:r>
          </w:p>
        </w:tc>
        <w:tc>
          <w:tcPr>
            <w:tcW w:type="dxa" w:w="4710"/>
            <w:vAlign w:val="center"/>
            <w:tcMar>
              <w:top w:w="90" w:type="dxa"/>
              <w:bottom w:w="90" w:type="dxa"/>
              <w:start w:w="120" w:type="dxa"/>
              <w:end w:w="120" w:type="dxa"/>
            </w:tcMar>
          </w:tcPr>
          <w:p>
            <w:pPr>
              <w:spacing w:after="0" w:line="247" w:lineRule="auto"/>
            </w:pPr>
            <w:r>
              <w:rPr>
                <w:rFonts w:ascii="Calibri" w:hAnsi="Calibri"/>
                <w:b w:val="0"/>
                <w:color w:val="1F2937"/>
                <w:sz w:val="15"/>
              </w:rPr>
              <w:t>Maestro único por SKU/EAN; tabla de equivalencias; prohibir ediciones simultáneas</w:t>
            </w:r>
          </w:p>
        </w:tc>
      </w:tr>
      <w:tr>
        <w:trPr/>
        <w:tc>
          <w:tcPr>
            <w:tcW w:type="dxa" w:w="1750"/>
            <w:vAlign w:val="center"/>
            <w:shd w:fill="F8FAFC"/>
            <w:tcMar>
              <w:top w:w="90" w:type="dxa"/>
              <w:bottom w:w="90" w:type="dxa"/>
              <w:start w:w="120" w:type="dxa"/>
              <w:end w:w="120" w:type="dxa"/>
            </w:tcMar>
          </w:tcPr>
          <w:p>
            <w:pPr>
              <w:spacing w:after="0" w:line="247" w:lineRule="auto"/>
            </w:pPr>
            <w:r>
              <w:rPr>
                <w:rFonts w:ascii="Calibri" w:hAnsi="Calibri"/>
                <w:b/>
                <w:color w:val="1F2937"/>
                <w:sz w:val="15"/>
              </w:rPr>
              <w:t>Catálogo de neumáticos</w:t>
            </w:r>
          </w:p>
        </w:tc>
        <w:tc>
          <w:tcPr>
            <w:tcW w:type="dxa" w:w="290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Pérdida de atributos, filtros, kits x2/x4, dimensiones o SEO</w:t>
            </w:r>
          </w:p>
        </w:tc>
        <w:tc>
          <w:tcPr>
            <w:tcW w:type="dxa" w:w="471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Exportación completa; muestra de QA; reconciliación por campos y variantes</w:t>
            </w:r>
          </w:p>
        </w:tc>
      </w:tr>
      <w:tr>
        <w:trPr/>
        <w:tc>
          <w:tcPr>
            <w:tcW w:type="dxa" w:w="1750"/>
            <w:vAlign w:val="center"/>
            <w:tcMar>
              <w:top w:w="90" w:type="dxa"/>
              <w:bottom w:w="90" w:type="dxa"/>
              <w:start w:w="120" w:type="dxa"/>
              <w:end w:w="120" w:type="dxa"/>
            </w:tcMar>
          </w:tcPr>
          <w:p>
            <w:pPr>
              <w:spacing w:after="0" w:line="247" w:lineRule="auto"/>
            </w:pPr>
            <w:r>
              <w:rPr>
                <w:rFonts w:ascii="Calibri" w:hAnsi="Calibri"/>
                <w:b/>
                <w:color w:val="1F2937"/>
                <w:sz w:val="15"/>
              </w:rPr>
              <w:t>Stock/precio</w:t>
            </w:r>
          </w:p>
        </w:tc>
        <w:tc>
          <w:tcPr>
            <w:tcW w:type="dxa" w:w="2900"/>
            <w:vAlign w:val="center"/>
            <w:tcMar>
              <w:top w:w="90" w:type="dxa"/>
              <w:bottom w:w="90" w:type="dxa"/>
              <w:start w:w="120" w:type="dxa"/>
              <w:end w:w="120" w:type="dxa"/>
            </w:tcMar>
          </w:tcPr>
          <w:p>
            <w:pPr>
              <w:spacing w:after="0" w:line="247" w:lineRule="auto"/>
            </w:pPr>
            <w:r>
              <w:rPr>
                <w:rFonts w:ascii="Calibri" w:hAnsi="Calibri"/>
                <w:b w:val="0"/>
                <w:color w:val="1F2937"/>
                <w:sz w:val="15"/>
              </w:rPr>
              <w:t>Sobreventa, precio desactualizado o margen incorrecto</w:t>
            </w:r>
          </w:p>
        </w:tc>
        <w:tc>
          <w:tcPr>
            <w:tcW w:type="dxa" w:w="4710"/>
            <w:vAlign w:val="center"/>
            <w:tcMar>
              <w:top w:w="90" w:type="dxa"/>
              <w:bottom w:w="90" w:type="dxa"/>
              <w:start w:w="120" w:type="dxa"/>
              <w:end w:w="120" w:type="dxa"/>
            </w:tcMar>
          </w:tcPr>
          <w:p>
            <w:pPr>
              <w:spacing w:after="0" w:line="247" w:lineRule="auto"/>
            </w:pPr>
            <w:r>
              <w:rPr>
                <w:rFonts w:ascii="Calibri" w:hAnsi="Calibri"/>
                <w:b w:val="0"/>
                <w:color w:val="1F2937"/>
                <w:sz w:val="15"/>
              </w:rPr>
              <w:t>Pruebas de concurrencia; alertas; comparación automática; stock de seguridad</w:t>
            </w:r>
          </w:p>
        </w:tc>
      </w:tr>
      <w:tr>
        <w:trPr/>
        <w:tc>
          <w:tcPr>
            <w:tcW w:type="dxa" w:w="1750"/>
            <w:vAlign w:val="center"/>
            <w:shd w:fill="F8FAFC"/>
            <w:tcMar>
              <w:top w:w="90" w:type="dxa"/>
              <w:bottom w:w="90" w:type="dxa"/>
              <w:start w:w="120" w:type="dxa"/>
              <w:end w:w="120" w:type="dxa"/>
            </w:tcMar>
          </w:tcPr>
          <w:p>
            <w:pPr>
              <w:spacing w:after="0" w:line="247" w:lineRule="auto"/>
            </w:pPr>
            <w:r>
              <w:rPr>
                <w:rFonts w:ascii="Calibri" w:hAnsi="Calibri"/>
                <w:b/>
                <w:color w:val="1F2937"/>
                <w:sz w:val="15"/>
              </w:rPr>
              <w:t>Pedidos</w:t>
            </w:r>
          </w:p>
        </w:tc>
        <w:tc>
          <w:tcPr>
            <w:tcW w:type="dxa" w:w="290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Órdenes incompletas, duplicadas o sin facturación</w:t>
            </w:r>
          </w:p>
        </w:tc>
        <w:tc>
          <w:tcPr>
            <w:tcW w:type="dxa" w:w="471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Idempotencia; estados mapeados; reintentos; conciliación diaria</w:t>
            </w:r>
          </w:p>
        </w:tc>
      </w:tr>
      <w:tr>
        <w:trPr/>
        <w:tc>
          <w:tcPr>
            <w:tcW w:type="dxa" w:w="1750"/>
            <w:vAlign w:val="center"/>
            <w:tcMar>
              <w:top w:w="90" w:type="dxa"/>
              <w:bottom w:w="90" w:type="dxa"/>
              <w:start w:w="120" w:type="dxa"/>
              <w:end w:w="120" w:type="dxa"/>
            </w:tcMar>
          </w:tcPr>
          <w:p>
            <w:pPr>
              <w:spacing w:after="0" w:line="247" w:lineRule="auto"/>
            </w:pPr>
            <w:r>
              <w:rPr>
                <w:rFonts w:ascii="Calibri" w:hAnsi="Calibri"/>
                <w:b/>
                <w:color w:val="1F2937"/>
                <w:sz w:val="15"/>
              </w:rPr>
              <w:t>Promociones/cuotas</w:t>
            </w:r>
          </w:p>
        </w:tc>
        <w:tc>
          <w:tcPr>
            <w:tcW w:type="dxa" w:w="2900"/>
            <w:vAlign w:val="center"/>
            <w:tcMar>
              <w:top w:w="90" w:type="dxa"/>
              <w:bottom w:w="90" w:type="dxa"/>
              <w:start w:w="120" w:type="dxa"/>
              <w:end w:w="120" w:type="dxa"/>
            </w:tcMar>
          </w:tcPr>
          <w:p>
            <w:pPr>
              <w:spacing w:after="0" w:line="247" w:lineRule="auto"/>
            </w:pPr>
            <w:r>
              <w:rPr>
                <w:rFonts w:ascii="Calibri" w:hAnsi="Calibri"/>
                <w:b w:val="0"/>
                <w:color w:val="1F2937"/>
                <w:sz w:val="15"/>
              </w:rPr>
              <w:t>Pérdida de lógica de la app VTEX IO</w:t>
            </w:r>
          </w:p>
        </w:tc>
        <w:tc>
          <w:tcPr>
            <w:tcW w:type="dxa" w:w="4710"/>
            <w:vAlign w:val="center"/>
            <w:tcMar>
              <w:top w:w="90" w:type="dxa"/>
              <w:bottom w:w="90" w:type="dxa"/>
              <w:start w:w="120" w:type="dxa"/>
              <w:end w:w="120" w:type="dxa"/>
            </w:tcMar>
          </w:tcPr>
          <w:p>
            <w:pPr>
              <w:spacing w:after="0" w:line="247" w:lineRule="auto"/>
            </w:pPr>
            <w:r>
              <w:rPr>
                <w:rFonts w:ascii="Calibri" w:hAnsi="Calibri"/>
                <w:b w:val="0"/>
                <w:color w:val="1F2937"/>
                <w:sz w:val="15"/>
              </w:rPr>
              <w:t>Inventario funcional; alternativa nativa/app; prueba de conversión</w:t>
            </w:r>
          </w:p>
        </w:tc>
      </w:tr>
      <w:tr>
        <w:trPr/>
        <w:tc>
          <w:tcPr>
            <w:tcW w:type="dxa" w:w="1750"/>
            <w:vAlign w:val="center"/>
            <w:shd w:fill="F8FAFC"/>
            <w:tcMar>
              <w:top w:w="90" w:type="dxa"/>
              <w:bottom w:w="90" w:type="dxa"/>
              <w:start w:w="120" w:type="dxa"/>
              <w:end w:w="120" w:type="dxa"/>
            </w:tcMar>
          </w:tcPr>
          <w:p>
            <w:pPr>
              <w:spacing w:after="0" w:line="247" w:lineRule="auto"/>
            </w:pPr>
            <w:r>
              <w:rPr>
                <w:rFonts w:ascii="Calibri" w:hAnsi="Calibri"/>
                <w:b/>
                <w:color w:val="1F2937"/>
                <w:sz w:val="15"/>
              </w:rPr>
              <w:t>SEO y URLs</w:t>
            </w:r>
          </w:p>
        </w:tc>
        <w:tc>
          <w:tcPr>
            <w:tcW w:type="dxa" w:w="290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Caída de tráfico orgánico</w:t>
            </w:r>
          </w:p>
        </w:tc>
        <w:tc>
          <w:tcPr>
            <w:tcW w:type="dxa" w:w="471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Mapa 301, metadatos, canonicals, Search Console y monitoreo 90 días</w:t>
            </w:r>
          </w:p>
        </w:tc>
      </w:tr>
      <w:tr>
        <w:trPr/>
        <w:tc>
          <w:tcPr>
            <w:tcW w:type="dxa" w:w="1750"/>
            <w:vAlign w:val="center"/>
            <w:tcMar>
              <w:top w:w="90" w:type="dxa"/>
              <w:bottom w:w="90" w:type="dxa"/>
              <w:start w:w="120" w:type="dxa"/>
              <w:end w:w="120" w:type="dxa"/>
            </w:tcMar>
          </w:tcPr>
          <w:p>
            <w:pPr>
              <w:spacing w:after="0" w:line="247" w:lineRule="auto"/>
            </w:pPr>
            <w:r>
              <w:rPr>
                <w:rFonts w:ascii="Calibri" w:hAnsi="Calibri"/>
                <w:b/>
                <w:color w:val="1F2937"/>
                <w:sz w:val="15"/>
              </w:rPr>
              <w:t>Clientes y datos</w:t>
            </w:r>
          </w:p>
        </w:tc>
        <w:tc>
          <w:tcPr>
            <w:tcW w:type="dxa" w:w="2900"/>
            <w:vAlign w:val="center"/>
            <w:tcMar>
              <w:top w:w="90" w:type="dxa"/>
              <w:bottom w:w="90" w:type="dxa"/>
              <w:start w:w="120" w:type="dxa"/>
              <w:end w:w="120" w:type="dxa"/>
            </w:tcMar>
          </w:tcPr>
          <w:p>
            <w:pPr>
              <w:spacing w:after="0" w:line="247" w:lineRule="auto"/>
            </w:pPr>
            <w:r>
              <w:rPr>
                <w:rFonts w:ascii="Calibri" w:hAnsi="Calibri"/>
                <w:b w:val="0"/>
                <w:color w:val="1F2937"/>
                <w:sz w:val="15"/>
              </w:rPr>
              <w:t>Históricos incompletos o problemas de privacidad</w:t>
            </w:r>
          </w:p>
        </w:tc>
        <w:tc>
          <w:tcPr>
            <w:tcW w:type="dxa" w:w="4710"/>
            <w:vAlign w:val="center"/>
            <w:tcMar>
              <w:top w:w="90" w:type="dxa"/>
              <w:bottom w:w="90" w:type="dxa"/>
              <w:start w:w="120" w:type="dxa"/>
              <w:end w:w="120" w:type="dxa"/>
            </w:tcMar>
          </w:tcPr>
          <w:p>
            <w:pPr>
              <w:spacing w:after="0" w:line="247" w:lineRule="auto"/>
            </w:pPr>
            <w:r>
              <w:rPr>
                <w:rFonts w:ascii="Calibri" w:hAnsi="Calibri"/>
                <w:b w:val="0"/>
                <w:color w:val="1F2937"/>
                <w:sz w:val="15"/>
              </w:rPr>
              <w:t>Definir qué migra, consentimiento, seguridad, retención y acceso</w:t>
            </w:r>
          </w:p>
        </w:tc>
      </w:tr>
      <w:tr>
        <w:trPr/>
        <w:tc>
          <w:tcPr>
            <w:tcW w:type="dxa" w:w="1750"/>
            <w:vAlign w:val="center"/>
            <w:shd w:fill="F8FAFC"/>
            <w:tcMar>
              <w:top w:w="90" w:type="dxa"/>
              <w:bottom w:w="90" w:type="dxa"/>
              <w:start w:w="120" w:type="dxa"/>
              <w:end w:w="120" w:type="dxa"/>
            </w:tcMar>
          </w:tcPr>
          <w:p>
            <w:pPr>
              <w:spacing w:after="0" w:line="247" w:lineRule="auto"/>
            </w:pPr>
            <w:r>
              <w:rPr>
                <w:rFonts w:ascii="Calibri" w:hAnsi="Calibri"/>
                <w:b/>
                <w:color w:val="1F2937"/>
                <w:sz w:val="15"/>
              </w:rPr>
              <w:t>Responsabilidades</w:t>
            </w:r>
          </w:p>
        </w:tc>
        <w:tc>
          <w:tcPr>
            <w:tcW w:type="dxa" w:w="290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Incidentes rebotan entre plataforma, app e integrador</w:t>
            </w:r>
          </w:p>
        </w:tc>
        <w:tc>
          <w:tcPr>
            <w:tcW w:type="dxa" w:w="4710"/>
            <w:vAlign w:val="center"/>
            <w:shd w:fill="F8FAFC"/>
            <w:tcMar>
              <w:top w:w="90" w:type="dxa"/>
              <w:bottom w:w="90" w:type="dxa"/>
              <w:start w:w="120" w:type="dxa"/>
              <w:end w:w="120" w:type="dxa"/>
            </w:tcMar>
          </w:tcPr>
          <w:p>
            <w:pPr>
              <w:spacing w:after="0" w:line="247" w:lineRule="auto"/>
            </w:pPr>
            <w:r>
              <w:rPr>
                <w:rFonts w:ascii="Calibri" w:hAnsi="Calibri"/>
                <w:b w:val="0"/>
                <w:color w:val="1F2937"/>
                <w:sz w:val="15"/>
              </w:rPr>
              <w:t>Matriz RACI y SLA de punta a punta con un dueño por dato</w:t>
            </w:r>
          </w:p>
        </w:tc>
      </w:tr>
      <w:tr>
        <w:trPr/>
        <w:tc>
          <w:tcPr>
            <w:tcW w:type="dxa" w:w="1750"/>
            <w:vAlign w:val="center"/>
            <w:tcMar>
              <w:top w:w="90" w:type="dxa"/>
              <w:bottom w:w="90" w:type="dxa"/>
              <w:start w:w="120" w:type="dxa"/>
              <w:end w:w="120" w:type="dxa"/>
            </w:tcMar>
          </w:tcPr>
          <w:p>
            <w:pPr>
              <w:spacing w:after="0" w:line="247" w:lineRule="auto"/>
            </w:pPr>
            <w:r>
              <w:rPr>
                <w:rFonts w:ascii="Calibri" w:hAnsi="Calibri"/>
                <w:b/>
                <w:color w:val="1F2937"/>
                <w:sz w:val="15"/>
              </w:rPr>
              <w:t>Cutover</w:t>
            </w:r>
          </w:p>
        </w:tc>
        <w:tc>
          <w:tcPr>
            <w:tcW w:type="dxa" w:w="2900"/>
            <w:vAlign w:val="center"/>
            <w:tcMar>
              <w:top w:w="90" w:type="dxa"/>
              <w:bottom w:w="90" w:type="dxa"/>
              <w:start w:w="120" w:type="dxa"/>
              <w:end w:w="120" w:type="dxa"/>
            </w:tcMar>
          </w:tcPr>
          <w:p>
            <w:pPr>
              <w:spacing w:after="0" w:line="247" w:lineRule="auto"/>
            </w:pPr>
            <w:r>
              <w:rPr>
                <w:rFonts w:ascii="Calibri" w:hAnsi="Calibri"/>
                <w:b w:val="0"/>
                <w:color w:val="1F2937"/>
                <w:sz w:val="15"/>
              </w:rPr>
              <w:t>Interrupción de venta o imposibilidad de volver atrás</w:t>
            </w:r>
          </w:p>
        </w:tc>
        <w:tc>
          <w:tcPr>
            <w:tcW w:type="dxa" w:w="4710"/>
            <w:vAlign w:val="center"/>
            <w:tcMar>
              <w:top w:w="90" w:type="dxa"/>
              <w:bottom w:w="90" w:type="dxa"/>
              <w:start w:w="120" w:type="dxa"/>
              <w:end w:w="120" w:type="dxa"/>
            </w:tcMar>
          </w:tcPr>
          <w:p>
            <w:pPr>
              <w:spacing w:after="0" w:line="247" w:lineRule="auto"/>
            </w:pPr>
            <w:r>
              <w:rPr>
                <w:rFonts w:ascii="Calibri" w:hAnsi="Calibri"/>
                <w:b w:val="0"/>
                <w:color w:val="1F2937"/>
                <w:sz w:val="15"/>
              </w:rPr>
              <w:t>Doble operación limitada, congelamiento, checklist y rollback probado</w:t>
            </w:r>
          </w:p>
        </w:tc>
      </w:tr>
    </w:tbl>
    <w:p>
      <w:pPr>
        <w:keepLines/>
        <w:spacing w:after="40"/>
      </w:pPr>
    </w:p>
    <w:tbl>
      <w:tblPr>
        <w:tblW w:type="dxa" w:w="9360"/>
        <w:jc w:val="left"/>
        <w:tblLayout w:type="fixed"/>
        <w:tblLook w:firstColumn="1" w:firstRow="1" w:lastColumn="0" w:lastRow="0" w:noHBand="0" w:noVBand="1" w:val="04A0"/>
        <w:tblInd w:type="dxa" w:w="180"/>
      </w:tblPr>
      <w:tblGrid>
        <w:gridCol w:w="9360"/>
      </w:tblGrid>
      <w:tr>
        <w:trPr>
          <w:tblHeader w:val="true"/>
        </w:trPr>
        <w:tc>
          <w:tcPr>
            <w:tcW w:type="dxa" w:w="9360"/>
            <w:shd w:fill="FFF4DE"/>
            <w:tcBorders>
              <w:top w:val="nil"/>
              <w:left w:val="single" w:sz="26" w:space="0" w:color="B36B00"/>
              <w:bottom w:val="nil"/>
              <w:right w:val="nil"/>
            </w:tcBorders>
            <w:tcMar>
              <w:top w:w="130" w:type="dxa"/>
              <w:bottom w:w="130" w:type="dxa"/>
              <w:start w:w="180" w:type="dxa"/>
              <w:end w:w="180" w:type="dxa"/>
            </w:tcMar>
          </w:tcPr>
          <w:p>
            <w:pPr>
              <w:spacing w:after="40"/>
            </w:pPr>
            <w:r>
              <w:rPr>
                <w:rFonts w:ascii="Calibri" w:hAnsi="Calibri"/>
                <w:b/>
                <w:color w:val="B36B00"/>
                <w:sz w:val="18"/>
              </w:rPr>
              <w:t>RIESGO ESPECÍFICO DE SARACHO</w:t>
            </w:r>
          </w:p>
          <w:p>
            <w:pPr>
              <w:spacing w:after="20" w:line="259" w:lineRule="auto"/>
            </w:pPr>
            <w:r>
              <w:rPr>
                <w:rFonts w:ascii="Calibri" w:hAnsi="Calibri"/>
                <w:b/>
                <w:color w:val="1F2937"/>
                <w:sz w:val="21"/>
              </w:rPr>
              <w:t>El catálogo de neumáticos combina medidas, variantes, marcas, kits, dimensiones logísticas y datos SEO. El identificador de enlace no puede improvisarse: SKU de referencia y EAN deben estar completos y ser estables antes del piloto.</w:t>
            </w:r>
          </w:p>
        </w:tc>
      </w:tr>
    </w:tbl>
    <w:p>
      <w:pPr>
        <w:keepLines/>
        <w:spacing w:after="20"/>
      </w:pPr>
    </w:p>
    <w:p>
      <w:pPr>
        <w:keepLines/>
      </w:pPr>
      <w:r>
        <w:br w:type="page"/>
      </w:r>
    </w:p>
    <w:p>
      <w:pPr>
        <w:pStyle w:val="Heading1"/>
        <w:keepNext/>
        <w:keepLines/>
      </w:pPr>
      <w:r>
        <w:t>7. Plan de decisión recomendado</w:t>
      </w:r>
    </w:p>
    <w:p>
      <w:pPr>
        <w:pStyle w:val="ListNumber"/>
        <w:keepLines/>
      </w:pPr>
      <w:r>
        <w:rPr>
          <w:rFonts w:ascii="Calibri" w:hAnsi="Calibri"/>
          <w:b/>
          <w:color w:val="17365D"/>
        </w:rPr>
        <w:t>1. Medir la base actual — 2 semanas</w:t>
      </w:r>
      <w:r>
        <w:rPr>
          <w:rFonts w:ascii="Calibri" w:hAnsi="Calibri"/>
          <w:color w:val="1F2937"/>
        </w:rPr>
        <w:t>. Consolidar facturas, GMV, pedidos, SKU, horas manuales, incidentes, latencia de sincronización y alcance real de Pirce.</w:t>
      </w:r>
    </w:p>
    <w:p>
      <w:pPr>
        <w:pStyle w:val="ListNumber"/>
      </w:pPr>
      <w:r>
        <w:rPr>
          <w:rFonts w:ascii="Calibri" w:hAnsi="Calibri"/>
          <w:b/>
          <w:color w:val="17365D"/>
        </w:rPr>
        <w:t>2. Cerrar requisitos críticos — 1 semana</w:t>
      </w:r>
      <w:r>
        <w:rPr>
          <w:rFonts w:ascii="Calibri" w:hAnsi="Calibri"/>
          <w:color w:val="1F2937"/>
        </w:rPr>
        <w:t>. Listar promociones, cuotas, centros de stock, medios de pago, envíos, Mercado Libre, SEO, reportes y customizaciones que no pueden perderse.</w:t>
      </w:r>
    </w:p>
    <w:p>
      <w:pPr>
        <w:pStyle w:val="ListNumber"/>
      </w:pPr>
      <w:r>
        <w:rPr>
          <w:rFonts w:ascii="Calibri" w:hAnsi="Calibri"/>
          <w:b/>
          <w:color w:val="17365D"/>
        </w:rPr>
        <w:t>3. Solicitar respuestas vinculantes — 1 a 2 semanas</w:t>
      </w:r>
      <w:r>
        <w:rPr>
          <w:rFonts w:ascii="Calibri" w:hAnsi="Calibri"/>
          <w:color w:val="1F2937"/>
        </w:rPr>
        <w:t>. Formalizar con Astroselling la integración VTEX conversada y pedir a todos los proveedores alcance, límites, SLA, seguridad, soporte, costos y responsabilidad por incidentes.</w:t>
      </w:r>
    </w:p>
    <w:p>
      <w:pPr>
        <w:pStyle w:val="ListNumber"/>
      </w:pPr>
      <w:r>
        <w:rPr>
          <w:rFonts w:ascii="Calibri" w:hAnsi="Calibri"/>
          <w:b/>
          <w:color w:val="17365D"/>
        </w:rPr>
        <w:t>4. Ejecutar pruebas técnica y visual — 30 días</w:t>
      </w:r>
      <w:r>
        <w:rPr>
          <w:rFonts w:ascii="Calibri" w:hAnsi="Calibri"/>
          <w:color w:val="1F2937"/>
        </w:rPr>
        <w:t>. Probar 50 a 100 SKU, variantes, kits y al menos dos canales. En paralelo, construir una demo custom en Tiendanube de Home, PLP, PDP, cuotas, carrito y móvil para compararla lado a lado con VTEX.</w:t>
      </w:r>
    </w:p>
    <w:p>
      <w:pPr>
        <w:pStyle w:val="ListNumber"/>
        <w:keepLines/>
      </w:pPr>
      <w:r>
        <w:rPr>
          <w:rFonts w:ascii="Calibri" w:hAnsi="Calibri"/>
          <w:b/>
          <w:color w:val="17365D"/>
        </w:rPr>
        <w:t>5. Armar business case — 1 semana</w:t>
      </w:r>
      <w:r>
        <w:rPr>
          <w:rFonts w:ascii="Calibri" w:hAnsi="Calibri"/>
          <w:color w:val="1F2937"/>
        </w:rPr>
        <w:t>. Comparar TCO a 24 meses, ahorro, repago, riesgos, brechas y costo de transición.</w:t>
      </w:r>
    </w:p>
    <w:p>
      <w:pPr>
        <w:pStyle w:val="ListNumber"/>
        <w:keepLines/>
      </w:pPr>
      <w:r>
        <w:rPr>
          <w:rFonts w:ascii="Calibri" w:hAnsi="Calibri"/>
          <w:b/>
          <w:color w:val="17365D"/>
        </w:rPr>
        <w:t>6. Decidir y, si corresponde, migrar — 6 a 12 semanas</w:t>
      </w:r>
      <w:r>
        <w:rPr>
          <w:rFonts w:ascii="Calibri" w:hAnsi="Calibri"/>
          <w:color w:val="1F2937"/>
        </w:rPr>
        <w:t>. Migración por oleadas, QA, redirecciones SEO, capacitación, observabilidad, doble operación acotada y rollback.</w:t>
      </w:r>
    </w:p>
    <w:p>
      <w:pPr>
        <w:pStyle w:val="Heading2"/>
        <w:keepNext/>
        <w:keepLines/>
      </w:pPr>
      <w:r>
        <w:t>Criterios propuestos de aceptación del piloto</w:t>
      </w:r>
    </w:p>
    <w:tbl>
      <w:tblPr>
        <w:tblStyle w:val="TableGrid"/>
        <w:tblW w:type="dxa" w:w="9360"/>
        <w:jc w:val="left"/>
        <w:tblLayout w:type="fixed"/>
        <w:tblLook w:firstColumn="1" w:firstRow="1" w:lastColumn="0" w:lastRow="0" w:noHBand="0" w:noVBand="1" w:val="04A0"/>
        <w:tblInd w:type="dxa" w:w="120"/>
      </w:tblPr>
      <w:tblGrid>
        <w:gridCol w:w="2100"/>
        <w:gridCol w:w="7260"/>
      </w:tblGrid>
      <w:tr>
        <w:trPr>
          <w:tblHeader w:val="true"/>
        </w:trPr>
        <w:tc>
          <w:tcPr>
            <w:tcW w:type="dxa" w:w="2100"/>
            <w:shd w:fill="17365D"/>
            <w:vAlign w:val="center"/>
            <w:tcMar>
              <w:top w:w="90" w:type="dxa"/>
              <w:bottom w:w="90" w:type="dxa"/>
              <w:start w:w="120" w:type="dxa"/>
              <w:end w:w="120" w:type="dxa"/>
            </w:tcMar>
          </w:tcPr>
          <w:p>
            <w:pPr>
              <w:spacing w:after="0"/>
              <w:jc w:val="left"/>
            </w:pPr>
            <w:r>
              <w:rPr>
                <w:rFonts w:ascii="Calibri" w:hAnsi="Calibri"/>
                <w:b/>
                <w:color w:val="FFFFFF"/>
                <w:sz w:val="17"/>
              </w:rPr>
              <w:t>Métrica</w:t>
            </w:r>
          </w:p>
        </w:tc>
        <w:tc>
          <w:tcPr>
            <w:tcW w:type="dxa" w:w="7260"/>
            <w:shd w:fill="17365D"/>
            <w:vAlign w:val="center"/>
            <w:tcMar>
              <w:top w:w="90" w:type="dxa"/>
              <w:bottom w:w="90" w:type="dxa"/>
              <w:start w:w="120" w:type="dxa"/>
              <w:end w:w="120" w:type="dxa"/>
            </w:tcMar>
          </w:tcPr>
          <w:p>
            <w:pPr>
              <w:spacing w:after="0"/>
              <w:jc w:val="left"/>
            </w:pPr>
            <w:r>
              <w:rPr>
                <w:rFonts w:ascii="Calibri" w:hAnsi="Calibri"/>
                <w:b/>
                <w:color w:val="FFFFFF"/>
                <w:sz w:val="17"/>
              </w:rPr>
              <w:t>Condición de aprobación</w:t>
            </w:r>
          </w:p>
        </w:tc>
      </w:tr>
      <w:tr>
        <w:trPr/>
        <w:tc>
          <w:tcPr>
            <w:tcW w:type="dxa" w:w="2100"/>
            <w:vAlign w:val="center"/>
            <w:tcMar>
              <w:top w:w="90" w:type="dxa"/>
              <w:bottom w:w="90" w:type="dxa"/>
              <w:start w:w="120" w:type="dxa"/>
              <w:end w:w="120" w:type="dxa"/>
            </w:tcMar>
          </w:tcPr>
          <w:p>
            <w:pPr>
              <w:spacing w:after="0" w:line="247" w:lineRule="auto"/>
            </w:pPr>
            <w:r>
              <w:rPr>
                <w:rFonts w:ascii="Calibri" w:hAnsi="Calibri"/>
                <w:b/>
                <w:color w:val="1F2937"/>
                <w:sz w:val="17"/>
              </w:rPr>
              <w:t>Stock</w:t>
            </w:r>
          </w:p>
        </w:tc>
        <w:tc>
          <w:tcPr>
            <w:tcW w:type="dxa" w:w="7260"/>
            <w:vAlign w:val="center"/>
            <w:tcMar>
              <w:top w:w="90" w:type="dxa"/>
              <w:bottom w:w="90" w:type="dxa"/>
              <w:start w:w="120" w:type="dxa"/>
              <w:end w:w="120" w:type="dxa"/>
            </w:tcMar>
          </w:tcPr>
          <w:p>
            <w:pPr>
              <w:spacing w:after="0" w:line="247" w:lineRule="auto"/>
            </w:pPr>
            <w:r>
              <w:rPr>
                <w:rFonts w:ascii="Calibri" w:hAnsi="Calibri"/>
                <w:b w:val="0"/>
                <w:color w:val="1F2937"/>
                <w:sz w:val="17"/>
              </w:rPr>
              <w:t>Diferencia &lt;= 0,5% de SKU medidos; cero sobreventas atribuibles al integrador</w:t>
            </w:r>
          </w:p>
        </w:tc>
      </w:tr>
      <w:tr>
        <w:trPr/>
        <w:tc>
          <w:tcPr>
            <w:tcW w:type="dxa" w:w="2100"/>
            <w:vAlign w:val="center"/>
            <w:shd w:fill="F8FAFC"/>
            <w:tcMar>
              <w:top w:w="90" w:type="dxa"/>
              <w:bottom w:w="90" w:type="dxa"/>
              <w:start w:w="120" w:type="dxa"/>
              <w:end w:w="120" w:type="dxa"/>
            </w:tcMar>
          </w:tcPr>
          <w:p>
            <w:pPr>
              <w:spacing w:after="0" w:line="247" w:lineRule="auto"/>
            </w:pPr>
            <w:r>
              <w:rPr>
                <w:rFonts w:ascii="Calibri" w:hAnsi="Calibri"/>
                <w:b/>
                <w:color w:val="1F2937"/>
                <w:sz w:val="17"/>
              </w:rPr>
              <w:t>Precios</w:t>
            </w:r>
          </w:p>
        </w:tc>
        <w:tc>
          <w:tcPr>
            <w:tcW w:type="dxa" w:w="7260"/>
            <w:vAlign w:val="center"/>
            <w:shd w:fill="F8FAFC"/>
            <w:tcMar>
              <w:top w:w="90" w:type="dxa"/>
              <w:bottom w:w="90" w:type="dxa"/>
              <w:start w:w="120" w:type="dxa"/>
              <w:end w:w="120" w:type="dxa"/>
            </w:tcMar>
          </w:tcPr>
          <w:p>
            <w:pPr>
              <w:spacing w:after="0" w:line="247" w:lineRule="auto"/>
            </w:pPr>
            <w:r>
              <w:rPr>
                <w:rFonts w:ascii="Calibri" w:hAnsi="Calibri"/>
                <w:b w:val="0"/>
                <w:color w:val="1F2937"/>
                <w:sz w:val="17"/>
              </w:rPr>
              <w:t>Diferencia &lt;= 0,5%; reglas de markup verificadas por canal</w:t>
            </w:r>
          </w:p>
        </w:tc>
      </w:tr>
      <w:tr>
        <w:trPr/>
        <w:tc>
          <w:tcPr>
            <w:tcW w:type="dxa" w:w="2100"/>
            <w:vAlign w:val="center"/>
            <w:tcMar>
              <w:top w:w="90" w:type="dxa"/>
              <w:bottom w:w="90" w:type="dxa"/>
              <w:start w:w="120" w:type="dxa"/>
              <w:end w:w="120" w:type="dxa"/>
            </w:tcMar>
          </w:tcPr>
          <w:p>
            <w:pPr>
              <w:spacing w:after="0" w:line="247" w:lineRule="auto"/>
            </w:pPr>
            <w:r>
              <w:rPr>
                <w:rFonts w:ascii="Calibri" w:hAnsi="Calibri"/>
                <w:b/>
                <w:color w:val="1F2937"/>
                <w:sz w:val="17"/>
              </w:rPr>
              <w:t>Sincronización</w:t>
            </w:r>
          </w:p>
        </w:tc>
        <w:tc>
          <w:tcPr>
            <w:tcW w:type="dxa" w:w="7260"/>
            <w:vAlign w:val="center"/>
            <w:tcMar>
              <w:top w:w="90" w:type="dxa"/>
              <w:bottom w:w="90" w:type="dxa"/>
              <w:start w:w="120" w:type="dxa"/>
              <w:end w:w="120" w:type="dxa"/>
            </w:tcMar>
          </w:tcPr>
          <w:p>
            <w:pPr>
              <w:spacing w:after="0" w:line="247" w:lineRule="auto"/>
            </w:pPr>
            <w:r>
              <w:rPr>
                <w:rFonts w:ascii="Calibri" w:hAnsi="Calibri"/>
                <w:b w:val="0"/>
                <w:color w:val="1F2937"/>
                <w:sz w:val="17"/>
              </w:rPr>
              <w:t>95% de cambios reflejados en &lt;= 5 minutos o SLA acordado mejor</w:t>
            </w:r>
          </w:p>
        </w:tc>
      </w:tr>
      <w:tr>
        <w:trPr/>
        <w:tc>
          <w:tcPr>
            <w:tcW w:type="dxa" w:w="2100"/>
            <w:vAlign w:val="center"/>
            <w:shd w:fill="F8FAFC"/>
            <w:tcMar>
              <w:top w:w="90" w:type="dxa"/>
              <w:bottom w:w="90" w:type="dxa"/>
              <w:start w:w="120" w:type="dxa"/>
              <w:end w:w="120" w:type="dxa"/>
            </w:tcMar>
          </w:tcPr>
          <w:p>
            <w:pPr>
              <w:spacing w:after="0" w:line="247" w:lineRule="auto"/>
            </w:pPr>
            <w:r>
              <w:rPr>
                <w:rFonts w:ascii="Calibri" w:hAnsi="Calibri"/>
                <w:b/>
                <w:color w:val="1F2937"/>
                <w:sz w:val="17"/>
              </w:rPr>
              <w:t>Pedidos</w:t>
            </w:r>
          </w:p>
        </w:tc>
        <w:tc>
          <w:tcPr>
            <w:tcW w:type="dxa" w:w="7260"/>
            <w:vAlign w:val="center"/>
            <w:shd w:fill="F8FAFC"/>
            <w:tcMar>
              <w:top w:w="90" w:type="dxa"/>
              <w:bottom w:w="90" w:type="dxa"/>
              <w:start w:w="120" w:type="dxa"/>
              <w:end w:w="120" w:type="dxa"/>
            </w:tcMar>
          </w:tcPr>
          <w:p>
            <w:pPr>
              <w:spacing w:after="0" w:line="247" w:lineRule="auto"/>
            </w:pPr>
            <w:r>
              <w:rPr>
                <w:rFonts w:ascii="Calibri" w:hAnsi="Calibri"/>
                <w:b w:val="0"/>
                <w:color w:val="1F2937"/>
                <w:sz w:val="17"/>
              </w:rPr>
              <w:t>100% importados una sola vez, con estados y datos necesarios</w:t>
            </w:r>
          </w:p>
        </w:tc>
      </w:tr>
      <w:tr>
        <w:trPr/>
        <w:tc>
          <w:tcPr>
            <w:tcW w:type="dxa" w:w="2100"/>
            <w:vAlign w:val="center"/>
            <w:tcMar>
              <w:top w:w="90" w:type="dxa"/>
              <w:bottom w:w="90" w:type="dxa"/>
              <w:start w:w="120" w:type="dxa"/>
              <w:end w:w="120" w:type="dxa"/>
            </w:tcMar>
          </w:tcPr>
          <w:p>
            <w:pPr>
              <w:spacing w:after="0" w:line="247" w:lineRule="auto"/>
            </w:pPr>
            <w:r>
              <w:rPr>
                <w:rFonts w:ascii="Calibri" w:hAnsi="Calibri"/>
                <w:b/>
                <w:color w:val="1F2937"/>
                <w:sz w:val="17"/>
              </w:rPr>
              <w:t>Catálogo</w:t>
            </w:r>
          </w:p>
        </w:tc>
        <w:tc>
          <w:tcPr>
            <w:tcW w:type="dxa" w:w="7260"/>
            <w:vAlign w:val="center"/>
            <w:tcMar>
              <w:top w:w="90" w:type="dxa"/>
              <w:bottom w:w="90" w:type="dxa"/>
              <w:start w:w="120" w:type="dxa"/>
              <w:end w:w="120" w:type="dxa"/>
            </w:tcMar>
          </w:tcPr>
          <w:p>
            <w:pPr>
              <w:spacing w:after="0" w:line="247" w:lineRule="auto"/>
            </w:pPr>
            <w:r>
              <w:rPr>
                <w:rFonts w:ascii="Calibri" w:hAnsi="Calibri"/>
                <w:b w:val="0"/>
                <w:color w:val="1F2937"/>
                <w:sz w:val="17"/>
              </w:rPr>
              <w:t>100% de campos críticos, imágenes, variantes y kits validados en la muestra</w:t>
            </w:r>
          </w:p>
        </w:tc>
      </w:tr>
      <w:tr>
        <w:trPr/>
        <w:tc>
          <w:tcPr>
            <w:tcW w:type="dxa" w:w="2100"/>
            <w:vAlign w:val="center"/>
            <w:shd w:fill="F8FAFC"/>
            <w:tcMar>
              <w:top w:w="90" w:type="dxa"/>
              <w:bottom w:w="90" w:type="dxa"/>
              <w:start w:w="120" w:type="dxa"/>
              <w:end w:w="120" w:type="dxa"/>
            </w:tcMar>
          </w:tcPr>
          <w:p>
            <w:pPr>
              <w:spacing w:after="0" w:line="247" w:lineRule="auto"/>
            </w:pPr>
            <w:r>
              <w:rPr>
                <w:rFonts w:ascii="Calibri" w:hAnsi="Calibri"/>
                <w:b/>
                <w:color w:val="1F2937"/>
                <w:sz w:val="17"/>
              </w:rPr>
              <w:t>Operación</w:t>
            </w:r>
          </w:p>
        </w:tc>
        <w:tc>
          <w:tcPr>
            <w:tcW w:type="dxa" w:w="7260"/>
            <w:vAlign w:val="center"/>
            <w:shd w:fill="F8FAFC"/>
            <w:tcMar>
              <w:top w:w="90" w:type="dxa"/>
              <w:bottom w:w="90" w:type="dxa"/>
              <w:start w:w="120" w:type="dxa"/>
              <w:end w:w="120" w:type="dxa"/>
            </w:tcMar>
          </w:tcPr>
          <w:p>
            <w:pPr>
              <w:spacing w:after="0" w:line="247" w:lineRule="auto"/>
            </w:pPr>
            <w:r>
              <w:rPr>
                <w:rFonts w:ascii="Calibri" w:hAnsi="Calibri"/>
                <w:b w:val="0"/>
                <w:color w:val="1F2937"/>
                <w:sz w:val="17"/>
              </w:rPr>
              <w:t>Reducción demostrable de tareas manuales y trazabilidad de errores</w:t>
            </w:r>
          </w:p>
        </w:tc>
      </w:tr>
      <w:tr>
        <w:trPr/>
        <w:tc>
          <w:tcPr>
            <w:tcW w:type="dxa" w:w="2100"/>
            <w:vAlign w:val="center"/>
            <w:tcMar>
              <w:top w:w="90" w:type="dxa"/>
              <w:bottom w:w="90" w:type="dxa"/>
              <w:start w:w="120" w:type="dxa"/>
              <w:end w:w="120" w:type="dxa"/>
            </w:tcMar>
          </w:tcPr>
          <w:p>
            <w:pPr>
              <w:spacing w:after="0" w:line="247" w:lineRule="auto"/>
            </w:pPr>
            <w:r>
              <w:rPr>
                <w:rFonts w:ascii="Calibri" w:hAnsi="Calibri"/>
                <w:b/>
                <w:color w:val="1F2937"/>
                <w:sz w:val="17"/>
              </w:rPr>
              <w:t>Soporte</w:t>
            </w:r>
          </w:p>
        </w:tc>
        <w:tc>
          <w:tcPr>
            <w:tcW w:type="dxa" w:w="7260"/>
            <w:vAlign w:val="center"/>
            <w:tcMar>
              <w:top w:w="90" w:type="dxa"/>
              <w:bottom w:w="90" w:type="dxa"/>
              <w:start w:w="120" w:type="dxa"/>
              <w:end w:w="120" w:type="dxa"/>
            </w:tcMar>
          </w:tcPr>
          <w:p>
            <w:pPr>
              <w:spacing w:after="0" w:line="247" w:lineRule="auto"/>
            </w:pPr>
            <w:r>
              <w:rPr>
                <w:rFonts w:ascii="Calibri" w:hAnsi="Calibri"/>
                <w:b w:val="0"/>
                <w:color w:val="1F2937"/>
                <w:sz w:val="17"/>
              </w:rPr>
              <w:t>Escalamiento probado, tiempos de respuesta y dueño de punta a punta definidos</w:t>
            </w:r>
          </w:p>
        </w:tc>
      </w:tr>
      <w:tr>
        <w:trPr/>
        <w:tc>
          <w:tcPr>
            <w:tcW w:type="dxa" w:w="2100"/>
            <w:vAlign w:val="center"/>
            <w:shd w:fill="F8FAFC"/>
            <w:tcMar>
              <w:top w:w="90" w:type="dxa"/>
              <w:bottom w:w="90" w:type="dxa"/>
              <w:start w:w="120" w:type="dxa"/>
              <w:end w:w="120" w:type="dxa"/>
            </w:tcMar>
          </w:tcPr>
          <w:p>
            <w:pPr>
              <w:spacing w:after="0" w:line="247" w:lineRule="auto"/>
            </w:pPr>
            <w:r>
              <w:rPr>
                <w:rFonts w:ascii="Calibri" w:hAnsi="Calibri"/>
                <w:b/>
                <w:color w:val="1F2937"/>
                <w:sz w:val="17"/>
              </w:rPr>
              <w:t>Diseño custom</w:t>
            </w:r>
          </w:p>
        </w:tc>
        <w:tc>
          <w:tcPr>
            <w:tcW w:type="dxa" w:w="7260"/>
            <w:vAlign w:val="center"/>
            <w:shd w:fill="F8FAFC"/>
            <w:tcMar>
              <w:top w:w="90" w:type="dxa"/>
              <w:bottom w:w="90" w:type="dxa"/>
              <w:start w:w="120" w:type="dxa"/>
              <w:end w:w="120" w:type="dxa"/>
            </w:tcMar>
          </w:tcPr>
          <w:p>
            <w:pPr>
              <w:spacing w:after="0" w:line="247" w:lineRule="auto"/>
            </w:pPr>
            <w:r>
              <w:rPr>
                <w:rFonts w:ascii="Calibri" w:hAnsi="Calibri"/>
                <w:b w:val="0"/>
                <w:color w:val="1F2937"/>
                <w:sz w:val="17"/>
              </w:rPr>
              <w:t>Home, PLP, PDP, cuotas, carrito y móvil igualan o mejoran la claridad visual y la identidad actual</w:t>
            </w:r>
          </w:p>
        </w:tc>
      </w:tr>
      <w:tr>
        <w:trPr/>
        <w:tc>
          <w:tcPr>
            <w:tcW w:type="dxa" w:w="2100"/>
            <w:vAlign w:val="center"/>
            <w:tcMar>
              <w:top w:w="90" w:type="dxa"/>
              <w:bottom w:w="90" w:type="dxa"/>
              <w:start w:w="120" w:type="dxa"/>
              <w:end w:w="120" w:type="dxa"/>
            </w:tcMar>
          </w:tcPr>
          <w:p>
            <w:pPr>
              <w:spacing w:after="0" w:line="247" w:lineRule="auto"/>
            </w:pPr>
            <w:r>
              <w:rPr>
                <w:rFonts w:ascii="Calibri" w:hAnsi="Calibri"/>
                <w:b/>
                <w:color w:val="1F2937"/>
                <w:sz w:val="17"/>
              </w:rPr>
              <w:t>Conversión</w:t>
            </w:r>
          </w:p>
        </w:tc>
        <w:tc>
          <w:tcPr>
            <w:tcW w:type="dxa" w:w="7260"/>
            <w:vAlign w:val="center"/>
            <w:tcMar>
              <w:top w:w="90" w:type="dxa"/>
              <w:bottom w:w="90" w:type="dxa"/>
              <w:start w:w="120" w:type="dxa"/>
              <w:end w:w="120" w:type="dxa"/>
            </w:tcMar>
          </w:tcPr>
          <w:p>
            <w:pPr>
              <w:spacing w:after="0" w:line="247" w:lineRule="auto"/>
            </w:pPr>
            <w:r>
              <w:rPr>
                <w:rFonts w:ascii="Calibri" w:hAnsi="Calibri"/>
                <w:b w:val="0"/>
                <w:color w:val="1F2937"/>
                <w:sz w:val="17"/>
              </w:rPr>
              <w:t>No aparecen fricciones nuevas en búsqueda, selección por medida, compra, pagos o envío</w:t>
            </w:r>
          </w:p>
        </w:tc>
      </w:tr>
    </w:tbl>
    <w:p>
      <w:pPr>
        <w:keepLines/>
        <w:spacing w:after="40"/>
      </w:pPr>
    </w:p>
    <w:p>
      <w:pPr>
        <w:keepLines/>
        <w:spacing w:before="80" w:after="80"/>
      </w:pPr>
      <w:r>
        <w:rPr>
          <w:rFonts w:ascii="Calibri" w:hAnsi="Calibri"/>
          <w:i/>
          <w:color w:val="5B6573"/>
          <w:sz w:val="16"/>
        </w:rPr>
        <w:t>Los umbrales son criterios de aceptación propuestos para Saracho, no compromisos publicados de los proveedores.</w:t>
      </w:r>
    </w:p>
    <w:p>
      <w:pPr>
        <w:pStyle w:val="Heading2"/>
        <w:keepNext/>
        <w:keepLines/>
      </w:pPr>
      <w:r>
        <w:t>Regla de decisión</w:t>
      </w:r>
    </w:p>
    <w:tbl>
      <w:tblPr>
        <w:tblW w:type="dxa" w:w="9360"/>
        <w:jc w:val="left"/>
        <w:tblLayout w:type="fixed"/>
        <w:tblLook w:firstColumn="1" w:firstRow="1" w:lastColumn="0" w:lastRow="0" w:noHBand="0" w:noVBand="1" w:val="04A0"/>
        <w:tblInd w:type="dxa" w:w="180"/>
      </w:tblPr>
      <w:tblGrid>
        <w:gridCol w:w="9360"/>
      </w:tblGrid>
      <w:tr>
        <w:trPr>
          <w:tblHeader w:val="true"/>
        </w:trPr>
        <w:tc>
          <w:tcPr>
            <w:tcW w:type="dxa" w:w="9360"/>
            <w:shd w:fill="EAF5EC"/>
            <w:tcBorders>
              <w:top w:val="nil"/>
              <w:left w:val="single" w:sz="26" w:space="0" w:color="2E7D32"/>
              <w:bottom w:val="nil"/>
              <w:right w:val="nil"/>
            </w:tcBorders>
            <w:tcMar>
              <w:top w:w="130" w:type="dxa"/>
              <w:bottom w:w="130" w:type="dxa"/>
              <w:start w:w="180" w:type="dxa"/>
              <w:end w:w="180" w:type="dxa"/>
            </w:tcMar>
          </w:tcPr>
          <w:p>
            <w:pPr>
              <w:spacing w:after="40"/>
            </w:pPr>
            <w:r>
              <w:rPr>
                <w:rFonts w:ascii="Calibri" w:hAnsi="Calibri"/>
                <w:b/>
                <w:color w:val="2E7D32"/>
                <w:sz w:val="18"/>
              </w:rPr>
              <w:t>RECOMENDACIÓN FINAL</w:t>
            </w:r>
          </w:p>
          <w:p>
            <w:pPr>
              <w:spacing w:after="20" w:line="259" w:lineRule="auto"/>
            </w:pPr>
            <w:r>
              <w:rPr>
                <w:rFonts w:ascii="Calibri" w:hAnsi="Calibri"/>
                <w:b/>
                <w:color w:val="1F2937"/>
                <w:sz w:val="21"/>
              </w:rPr>
              <w:t>Con ventas bajas, acelerar la evaluación de ahorro sin ejecutar un cambio ciego. Comparar dos pruebas: Astroselling integrado a VTEX según la disposición ya expresada, y Tiendanube + Astroselling con desarrollo visual custom. Elegir la alternativa que reduzca materialmente el costo mensual, cumpla la operación y mantenga o mejore la presentación y conversión del sitio.</w:t>
            </w:r>
          </w:p>
        </w:tc>
      </w:tr>
    </w:tbl>
    <w:p>
      <w:pPr>
        <w:keepLines/>
        <w:spacing w:after="20"/>
      </w:pPr>
    </w:p>
    <w:p>
      <w:pPr>
        <w:pStyle w:val="Heading1"/>
        <w:keepNext/>
        <w:keepLines/>
      </w:pPr>
      <w:r>
        <w:t>8. Preguntas que deben responder los proveedores</w:t>
      </w:r>
    </w:p>
    <w:p>
      <w:pPr>
        <w:pStyle w:val="Heading2"/>
        <w:keepNext/>
        <w:keepLines/>
      </w:pPr>
      <w:r>
        <w:t>Astroselling</w:t>
      </w:r>
    </w:p>
    <w:p>
      <w:pPr>
        <w:pStyle w:val="ListBullet"/>
        <w:keepLines/>
        <w:ind w:left="720" w:hanging="360"/>
      </w:pPr>
      <w:r>
        <w:rPr>
          <w:rFonts w:ascii="Calibri" w:hAnsi="Calibri"/>
          <w:color w:val="1F2937"/>
        </w:rPr>
        <w:t>¿Pueden formalizar la disposición ya conversada para desarrollar la integración VTEX, con alcance, precio, cronograma, mantenimiento y responsables?</w:t>
      </w:r>
    </w:p>
    <w:p>
      <w:pPr>
        <w:pStyle w:val="ListBullet"/>
        <w:keepLines/>
        <w:ind w:left="720" w:hanging="360"/>
      </w:pPr>
      <w:r>
        <w:rPr>
          <w:rFonts w:ascii="Calibri" w:hAnsi="Calibri"/>
          <w:color w:val="1F2937"/>
        </w:rPr>
        <w:t>¿El resultado será un conector productivo y soportado? ¿Qué operaciones cubrirá y qué referencias o pruebas podrán aportar?</w:t>
      </w:r>
    </w:p>
    <w:p>
      <w:pPr>
        <w:pStyle w:val="ListBullet"/>
        <w:keepLines/>
        <w:ind w:left="720" w:hanging="360"/>
      </w:pPr>
      <w:r>
        <w:rPr>
          <w:rFonts w:ascii="Calibri" w:hAnsi="Calibri"/>
          <w:color w:val="1F2937"/>
        </w:rPr>
        <w:t>¿Sincroniza en ambos sentidos catálogo, variantes, atributos, imágenes, precio, promociones, stock y pedidos?</w:t>
      </w:r>
    </w:p>
    <w:p>
      <w:pPr>
        <w:pStyle w:val="ListBullet"/>
        <w:keepLines/>
        <w:ind w:left="720" w:hanging="360"/>
      </w:pPr>
      <w:r>
        <w:rPr>
          <w:rFonts w:ascii="Calibri" w:hAnsi="Calibri"/>
          <w:color w:val="1F2937"/>
        </w:rPr>
        <w:t>¿La API está incluida o tiene costo de configuración? ¿Quién mantiene el conector ante cambios de VTEX?</w:t>
      </w:r>
    </w:p>
    <w:p>
      <w:pPr>
        <w:pStyle w:val="ListBullet"/>
        <w:keepLines/>
        <w:ind w:left="720" w:hanging="360"/>
      </w:pPr>
      <w:r>
        <w:rPr>
          <w:rFonts w:ascii="Calibri" w:hAnsi="Calibri"/>
          <w:color w:val="1F2937"/>
        </w:rPr>
        <w:t>¿Qué SLA, monitoreo, reintentos, historial, alertas y soporte ofrece para Argentina?</w:t>
      </w:r>
    </w:p>
    <w:p>
      <w:pPr>
        <w:pStyle w:val="ListBullet"/>
        <w:keepLines/>
        <w:ind w:left="720" w:hanging="360"/>
      </w:pPr>
      <w:r>
        <w:rPr>
          <w:rFonts w:ascii="Calibri" w:hAnsi="Calibri"/>
          <w:color w:val="1F2937"/>
        </w:rPr>
        <w:t>¿Cómo maneja combos/kits, múltiples depósitos y reglas de markup/stock por canal?</w:t>
      </w:r>
    </w:p>
    <w:p>
      <w:pPr>
        <w:pStyle w:val="Heading2"/>
        <w:keepNext/>
        <w:keepLines/>
      </w:pPr>
      <w:r>
        <w:t>Tiendanube</w:t>
      </w:r>
    </w:p>
    <w:p>
      <w:pPr>
        <w:pStyle w:val="ListBullet"/>
        <w:keepLines/>
        <w:ind w:left="720" w:hanging="360"/>
      </w:pPr>
      <w:r>
        <w:rPr>
          <w:rFonts w:ascii="Calibri" w:hAnsi="Calibri"/>
          <w:color w:val="1F2937"/>
        </w:rPr>
        <w:t>¿Qué plan reproduce centros de distribución, usuarios, estadísticas, promociones, pagos y envíos actuales?</w:t>
      </w:r>
    </w:p>
    <w:p>
      <w:pPr>
        <w:pStyle w:val="ListBullet"/>
        <w:keepLines/>
        <w:ind w:left="720" w:hanging="360"/>
      </w:pPr>
      <w:r>
        <w:rPr>
          <w:rFonts w:ascii="Calibri" w:hAnsi="Calibri"/>
          <w:color w:val="1F2937"/>
        </w:rPr>
        <w:t>¿Cómo se reemplaza la app de cuotas/promociones construida en VTEX IO?</w:t>
      </w:r>
    </w:p>
    <w:p>
      <w:pPr>
        <w:pStyle w:val="ListBullet"/>
        <w:keepLines/>
        <w:ind w:left="720" w:hanging="360"/>
      </w:pPr>
      <w:r>
        <w:rPr>
          <w:rFonts w:ascii="Calibri" w:hAnsi="Calibri"/>
          <w:color w:val="1F2937"/>
        </w:rPr>
        <w:t>¿Qué límites de API, aplicaciones a medida, exportaciones, redirecciones y migración de clientes aplican?</w:t>
      </w:r>
    </w:p>
    <w:p>
      <w:pPr>
        <w:pStyle w:val="ListBullet"/>
        <w:keepLines/>
        <w:ind w:left="720" w:hanging="360"/>
      </w:pPr>
      <w:r>
        <w:rPr>
          <w:rFonts w:ascii="Calibri" w:hAnsi="Calibri"/>
          <w:color w:val="1F2937"/>
        </w:rPr>
        <w:t>¿Cuál es el costo efectivo con el medio de pago elegido y el GMV real?</w:t>
      </w:r>
    </w:p>
    <w:p>
      <w:pPr>
        <w:pStyle w:val="ListBullet"/>
        <w:keepLines/>
        <w:ind w:left="720" w:hanging="360"/>
      </w:pPr>
      <w:r>
        <w:rPr>
          <w:rFonts w:ascii="Calibri" w:hAnsi="Calibri"/>
          <w:color w:val="1F2937"/>
        </w:rPr>
        <w:t>¿Qué acceso y límites existen para un desarrollo visual custom que replique o mejore Home, PLP, PDP, cuotas, carrito y experiencia móvil de VTEX?</w:t>
      </w:r>
    </w:p>
    <w:p>
      <w:pPr>
        <w:pStyle w:val="Heading2"/>
        <w:keepNext/>
        <w:keepLines/>
      </w:pPr>
      <w:r>
        <w:t>Producteca y Pirce</w:t>
      </w:r>
    </w:p>
    <w:p>
      <w:pPr>
        <w:pStyle w:val="ListBullet"/>
        <w:keepLines/>
        <w:ind w:left="720" w:hanging="360"/>
      </w:pPr>
      <w:r>
        <w:rPr>
          <w:rFonts w:ascii="Calibri" w:hAnsi="Calibri"/>
          <w:color w:val="1F2937"/>
        </w:rPr>
        <w:t>¿Qué funciones se usan realmente y cuáles podrían eliminarse o renegociarse?</w:t>
      </w:r>
    </w:p>
    <w:p>
      <w:pPr>
        <w:pStyle w:val="ListBullet"/>
        <w:keepLines/>
        <w:ind w:left="720" w:hanging="360"/>
      </w:pPr>
      <w:r>
        <w:rPr>
          <w:rFonts w:ascii="Calibri" w:hAnsi="Calibri"/>
          <w:color w:val="1F2937"/>
        </w:rPr>
        <w:t>¿Quién es el dueño operativo de catálogo, stock, precio, pedidos e incidentes?</w:t>
      </w:r>
    </w:p>
    <w:p>
      <w:pPr>
        <w:pStyle w:val="ListBullet"/>
        <w:keepLines/>
        <w:ind w:left="720" w:hanging="360"/>
      </w:pPr>
      <w:r>
        <w:rPr>
          <w:rFonts w:ascii="Calibri" w:hAnsi="Calibri"/>
          <w:color w:val="1F2937"/>
        </w:rPr>
        <w:t>¿Qué SLA y reportes de errores/incidentes se cumplen hoy?</w:t>
      </w:r>
    </w:p>
    <w:p>
      <w:pPr>
        <w:pStyle w:val="ListBullet"/>
        <w:keepLines/>
        <w:ind w:left="720" w:hanging="360"/>
      </w:pPr>
      <w:r>
        <w:rPr>
          <w:rFonts w:ascii="Calibri" w:hAnsi="Calibri"/>
          <w:color w:val="1F2937"/>
        </w:rPr>
        <w:t>¿Cuál sería el costo de continuidad optimizada y cuál el de una migración asistida?</w:t>
      </w:r>
    </w:p>
    <w:p>
      <w:pPr>
        <w:pStyle w:val="ListBullet"/>
        <w:keepLines/>
        <w:ind w:left="720" w:hanging="360"/>
      </w:pPr>
      <w:r>
        <w:rPr>
          <w:rFonts w:ascii="Calibri" w:hAnsi="Calibri"/>
          <w:color w:val="1F2937"/>
        </w:rPr>
        <w:t>¿Qué parte del fee de Pirce corresponde a complejidad de VTEX y qué parte seguiría existiendo en Tiendanube?</w:t>
      </w:r>
    </w:p>
    <w:p>
      <w:pPr>
        <w:keepLines/>
      </w:pPr>
      <w:r>
        <w:br w:type="page"/>
      </w:r>
    </w:p>
    <w:p>
      <w:pPr>
        <w:pStyle w:val="Heading1"/>
        <w:keepNext/>
        <w:keepLines/>
      </w:pPr>
      <w:r>
        <w:t>9. Fuentes y evidencia</w:t>
      </w:r>
    </w:p>
    <w:p>
      <w:pPr>
        <w:keepLines/>
        <w:spacing w:after="120"/>
      </w:pPr>
      <w:r>
        <w:rPr>
          <w:rFonts w:ascii="Calibri" w:hAnsi="Calibri"/>
          <w:i w:val="0"/>
          <w:color w:val="1F2937"/>
        </w:rPr>
        <w:t>Se priorizaron páginas oficiales de los proveedores y documentación interna del proyecto. Consulta web realizada el 18 de agosto de 2026.</w:t>
      </w:r>
    </w:p>
    <w:p>
      <w:pPr>
        <w:pStyle w:val="ListBullet"/>
        <w:keepLines/>
        <w:spacing w:after="80"/>
      </w:pPr>
      <w:hyperlink r:id="rId12">
        <w:r>
          <w:rPr>
            <w:color w:val="2E74B5"/>
            <w:u w:val="single"/>
            <w:rFonts w:ascii="Calibri" w:hAnsi="Calibri"/>
          </w:rPr>
          <w:t>VTEX Developers — Composability</w:t>
        </w:r>
      </w:hyperlink>
    </w:p>
    <w:p>
      <w:pPr>
        <w:pStyle w:val="ListBullet"/>
        <w:keepLines/>
        <w:spacing w:after="80"/>
      </w:pPr>
      <w:hyperlink r:id="rId13">
        <w:r>
          <w:rPr>
            <w:color w:val="2E74B5"/>
            <w:u w:val="single"/>
            <w:rFonts w:ascii="Calibri" w:hAnsi="Calibri"/>
          </w:rPr>
          <w:t>VTEX — Comercio B2C omnicanal</w:t>
        </w:r>
      </w:hyperlink>
    </w:p>
    <w:p>
      <w:pPr>
        <w:pStyle w:val="ListBullet"/>
        <w:keepLines/>
        <w:spacing w:after="80"/>
      </w:pPr>
      <w:hyperlink r:id="rId14">
        <w:r>
          <w:rPr>
            <w:color w:val="2E74B5"/>
            <w:u w:val="single"/>
            <w:rFonts w:ascii="Calibri" w:hAnsi="Calibri"/>
          </w:rPr>
          <w:t>Producteca — Integración con VTEX</w:t>
        </w:r>
      </w:hyperlink>
    </w:p>
    <w:p>
      <w:pPr>
        <w:pStyle w:val="ListBullet"/>
        <w:keepLines/>
        <w:spacing w:after="80"/>
      </w:pPr>
      <w:hyperlink r:id="rId15">
        <w:r>
          <w:rPr>
            <w:color w:val="2E74B5"/>
            <w:u w:val="single"/>
            <w:rFonts w:ascii="Calibri" w:hAnsi="Calibri"/>
          </w:rPr>
          <w:t>Producteca — Plataforma e integraciones</w:t>
        </w:r>
      </w:hyperlink>
    </w:p>
    <w:p>
      <w:pPr>
        <w:pStyle w:val="ListBullet"/>
        <w:keepLines/>
        <w:spacing w:after="80"/>
      </w:pPr>
      <w:hyperlink r:id="rId16">
        <w:r>
          <w:rPr>
            <w:color w:val="2E74B5"/>
            <w:u w:val="single"/>
            <w:rFonts w:ascii="Calibri" w:hAnsi="Calibri"/>
          </w:rPr>
          <w:t>Producteca — Términos, esquema de precios y SLA</w:t>
        </w:r>
      </w:hyperlink>
    </w:p>
    <w:p>
      <w:pPr>
        <w:pStyle w:val="ListBullet"/>
        <w:keepLines/>
        <w:spacing w:after="80"/>
      </w:pPr>
      <w:hyperlink r:id="rId11">
        <w:r>
          <w:rPr>
            <w:color w:val="2E74B5"/>
            <w:u w:val="single"/>
            <w:rFonts w:ascii="Calibri" w:hAnsi="Calibri"/>
          </w:rPr>
          <w:t>Tiendanube — Planes y precios Argentina</w:t>
        </w:r>
      </w:hyperlink>
    </w:p>
    <w:p>
      <w:pPr>
        <w:pStyle w:val="ListBullet"/>
        <w:keepLines/>
        <w:spacing w:after="80"/>
      </w:pPr>
      <w:hyperlink r:id="rId17">
        <w:r>
          <w:rPr>
            <w:color w:val="2E74B5"/>
            <w:u w:val="single"/>
            <w:rFonts w:ascii="Calibri" w:hAnsi="Calibri"/>
          </w:rPr>
          <w:t>Tiendanube Ayuda — Costos y transacciones</w:t>
        </w:r>
      </w:hyperlink>
    </w:p>
    <w:p>
      <w:pPr>
        <w:pStyle w:val="ListBullet"/>
        <w:keepLines/>
        <w:spacing w:after="80"/>
      </w:pPr>
      <w:hyperlink r:id="rId18">
        <w:r>
          <w:rPr>
            <w:color w:val="2E74B5"/>
            <w:u w:val="single"/>
            <w:rFonts w:ascii="Calibri" w:hAnsi="Calibri"/>
          </w:rPr>
          <w:t>Tiendanube Ayuda — Integrar Astroselling</w:t>
        </w:r>
      </w:hyperlink>
    </w:p>
    <w:p>
      <w:pPr>
        <w:pStyle w:val="ListBullet"/>
        <w:keepLines/>
        <w:spacing w:after="80"/>
      </w:pPr>
      <w:hyperlink r:id="rId19">
        <w:r>
          <w:rPr>
            <w:color w:val="2E74B5"/>
            <w:u w:val="single"/>
            <w:rFonts w:ascii="Calibri" w:hAnsi="Calibri"/>
          </w:rPr>
          <w:t>Astroselling Argentina — Funciones, integraciones y planes</w:t>
        </w:r>
      </w:hyperlink>
    </w:p>
    <w:p>
      <w:pPr>
        <w:pStyle w:val="ListBullet"/>
        <w:keepLines/>
        <w:spacing w:after="80"/>
      </w:pPr>
      <w:hyperlink r:id="rId20">
        <w:r>
          <w:rPr>
            <w:color w:val="2E74B5"/>
            <w:u w:val="single"/>
            <w:rFonts w:ascii="Calibri" w:hAnsi="Calibri"/>
          </w:rPr>
          <w:t>Astroselling Ayuda — Conectores de e-commerce</w:t>
        </w:r>
      </w:hyperlink>
    </w:p>
    <w:p>
      <w:pPr>
        <w:pStyle w:val="Heading2"/>
        <w:keepNext/>
        <w:keepLines/>
      </w:pPr>
      <w:r>
        <w:t>Evidencia interna consultada</w:t>
      </w:r>
    </w:p>
    <w:p>
      <w:pPr>
        <w:pStyle w:val="ListBullet"/>
        <w:keepLines/>
        <w:ind w:left="720" w:hanging="360"/>
      </w:pPr>
      <w:r>
        <w:rPr>
          <w:rFonts w:ascii="Calibri" w:hAnsi="Calibri"/>
          <w:color w:val="1F2937"/>
        </w:rPr>
        <w:t>REGLAS_PROYECTO.md: confirma que la tienda usa VTEX y que Producteca sincroniza el catálogo con VTEX.</w:t>
      </w:r>
    </w:p>
    <w:p>
      <w:pPr>
        <w:pStyle w:val="ListBullet"/>
        <w:keepLines/>
        <w:ind w:left="720" w:hanging="360"/>
      </w:pPr>
      <w:r>
        <w:rPr>
          <w:rFonts w:ascii="Calibri" w:hAnsi="Calibri"/>
          <w:color w:val="1F2937"/>
        </w:rPr>
        <w:t>Repositorio installments-info-sarachoneumaticos: evidencia una aplicación personalizada VTEX IO para información de cuotas/promociones.</w:t>
      </w:r>
    </w:p>
    <w:p>
      <w:pPr>
        <w:pStyle w:val="ListBullet"/>
        <w:keepLines/>
        <w:ind w:left="720" w:hanging="360"/>
      </w:pPr>
      <w:r>
        <w:rPr>
          <w:rFonts w:ascii="Calibri" w:hAnsi="Calibri"/>
          <w:color w:val="1F2937"/>
        </w:rPr>
        <w:t>Archivos y reportes del proyecto: evidencian catálogo de neumáticos, kits, dimensiones logísticas y reportes operativos VTEX.</w:t>
      </w:r>
    </w:p>
    <w:p>
      <w:pPr>
        <w:pStyle w:val="ListBullet"/>
        <w:keepLines/>
        <w:ind w:left="720" w:hanging="360"/>
      </w:pPr>
      <w:r>
        <w:rPr>
          <w:rFonts w:ascii="Calibri" w:hAnsi="Calibri"/>
          <w:color w:val="1F2937"/>
        </w:rPr>
        <w:t>Antecedente informado por Saracho Neumáticos: ya hubo conversaciones con Astroselling y el proveedor manifestó disposición a desarrollar una integración con VTEX.</w:t>
      </w:r>
    </w:p>
    <w:p>
      <w:pPr>
        <w:pStyle w:val="ListBullet"/>
        <w:ind w:left="720" w:hanging="360"/>
      </w:pPr>
      <w:r>
        <w:rPr>
          <w:rFonts w:ascii="Calibri" w:hAnsi="Calibri"/>
          <w:color w:val="1F2937"/>
        </w:rPr>
        <w:t>Objetivo informado por Saracho Neumáticos: reducir costos por el nivel bajo de ventas y demostrar mediante desarrollo custom que Tiendanube puede alcanzar una presentación comparable con VTEX.</w:t>
      </w:r>
    </w:p>
    <w:p>
      <w:pPr>
        <w:pStyle w:val="Heading2"/>
        <w:keepNext/>
        <w:keepLines/>
      </w:pPr>
      <w:r>
        <w:t>Lectura de la integración VTEX propuesta por Astroselling</w:t>
      </w:r>
    </w:p>
    <w:p>
      <w:pPr>
        <w:spacing w:after="120"/>
      </w:pPr>
      <w:r>
        <w:rPr>
          <w:rFonts w:ascii="Calibri" w:hAnsi="Calibri"/>
          <w:i w:val="0"/>
          <w:color w:val="1F2937"/>
        </w:rPr>
        <w:t>La documentación pública consultada de Astroselling enumera conectores como Tiendanube, Shopify, WooCommerce, Wix y otros, pero no VTEX. Sin embargo, Astroselling manifestó directamente a Saracho Neumáticos su disposición a desarrollar esa integración. Por lo tanto, el escenario no se descarta: debe convertirse en una propuesta formal y demostrarse con una prueba de concepto antes de considerarlo equivalente a Producteca.</w:t>
      </w:r>
    </w:p>
    <w:tbl>
      <w:tblPr>
        <w:tblW w:type="dxa" w:w="9360"/>
        <w:jc w:val="left"/>
        <w:tblLayout w:type="fixed"/>
        <w:tblLook w:firstColumn="1" w:firstRow="1" w:lastColumn="0" w:lastRow="0" w:noHBand="0" w:noVBand="1" w:val="04A0"/>
        <w:tblInd w:type="dxa" w:w="180"/>
      </w:tblPr>
      <w:tblGrid>
        <w:gridCol w:w="9360"/>
      </w:tblGrid>
      <w:tr>
        <w:trPr>
          <w:tblHeader w:val="true"/>
        </w:trPr>
        <w:tc>
          <w:tcPr>
            <w:tcW w:type="dxa" w:w="9360"/>
            <w:shd w:fill="F2F4F7"/>
            <w:tcBorders>
              <w:top w:val="nil"/>
              <w:left w:val="single" w:sz="26" w:space="0" w:color="17365D"/>
              <w:bottom w:val="nil"/>
              <w:right w:val="nil"/>
            </w:tcBorders>
            <w:tcMar>
              <w:top w:w="130" w:type="dxa"/>
              <w:bottom w:w="130" w:type="dxa"/>
              <w:start w:w="180" w:type="dxa"/>
              <w:end w:w="180" w:type="dxa"/>
            </w:tcMar>
          </w:tcPr>
          <w:p>
            <w:pPr>
              <w:spacing w:after="40"/>
            </w:pPr>
            <w:r>
              <w:rPr>
                <w:rFonts w:ascii="Calibri" w:hAnsi="Calibri"/>
                <w:b/>
                <w:color w:val="17365D"/>
                <w:sz w:val="18"/>
              </w:rPr>
              <w:t>NOTA FINAL</w:t>
            </w:r>
          </w:p>
          <w:p>
            <w:pPr>
              <w:spacing w:after="20" w:line="259" w:lineRule="auto"/>
            </w:pPr>
            <w:r>
              <w:rPr>
                <w:rFonts w:ascii="Calibri" w:hAnsi="Calibri"/>
                <w:b/>
                <w:color w:val="1F2937"/>
                <w:sz w:val="21"/>
              </w:rPr>
              <w:t>Este informe recomienda un proceso de decisión; no una migración inmediata. La información comercial y técnica debe cerrarse con propuestas vigentes, contratos, SLAs y pruebas sobre el catálogo real de Saracho Neumáticos.</w:t>
            </w:r>
          </w:p>
        </w:tc>
      </w:tr>
    </w:tbl>
    <w:p>
      <w:pPr>
        <w:keepLines/>
        <w:spacing w:after="20"/>
      </w:pPr>
    </w:p>
    <w:sectPr w:rsidR="00FC693F" w:rsidRPr="0006063C" w:rsidSect="00034616">
      <w:headerReference w:type="default" r:id="rId9"/>
      <w:footerReference w:type="default" r:id="rId10"/>
      <w:pgSz w:w="12240" w:h="15840"/>
      <w:pgMar w:top="1123" w:right="1440" w:bottom="1066" w:left="144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Calibri" w:hAnsi="Calibri"/>
        <w:color w:val="5B6573"/>
        <w:sz w:val="16"/>
      </w:rPr>
      <w:t xml:space="preserve">Agosto 2026   •   </w:t>
    </w:r>
    <w:r>
      <w:rPr>
        <w:rFonts w:ascii="Calibri" w:hAnsi="Calibri"/>
        <w:color w:val="5B6573"/>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3" w:color="D6DEE8"/>
      </w:pBdr>
    </w:pPr>
    <w:r>
      <w:rPr>
        <w:rFonts w:ascii="Calibri" w:hAnsi="Calibri"/>
        <w:b/>
        <w:color w:val="5B6573"/>
        <w:sz w:val="16"/>
      </w:rPr>
      <w:t>SARACHO NEUMÁTICOS  |  INFORME DE DECISIÓN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i/>
      <w:iCs/>
      <w:color w:val="5B6573"/>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tiendanube.com/planes-y-precios" TargetMode="External"/><Relationship Id="rId12" Type="http://schemas.openxmlformats.org/officeDocument/2006/relationships/hyperlink" Target="https://developers.vtex.com/docs/guides/composability" TargetMode="External"/><Relationship Id="rId13" Type="http://schemas.openxmlformats.org/officeDocument/2006/relationships/hyperlink" Target="https://www.vtex.com/es-mx/solutions/business-needs/b2c-omnichannel/" TargetMode="External"/><Relationship Id="rId14" Type="http://schemas.openxmlformats.org/officeDocument/2006/relationships/hyperlink" Target="https://www.producteca.com/integraciones/vtex" TargetMode="External"/><Relationship Id="rId15" Type="http://schemas.openxmlformats.org/officeDocument/2006/relationships/hyperlink" Target="https://www.producteca.com/" TargetMode="External"/><Relationship Id="rId16" Type="http://schemas.openxmlformats.org/officeDocument/2006/relationships/hyperlink" Target="https://www.producteca.com/terminos-y-condiciones-de-uso-y-politicas-de-privacidad" TargetMode="External"/><Relationship Id="rId17" Type="http://schemas.openxmlformats.org/officeDocument/2006/relationships/hyperlink" Target="https://ayuda.tiendanube.com/es_AR/sobre-tiendanube/que-costo-tiene-tiendanube" TargetMode="External"/><Relationship Id="rId18" Type="http://schemas.openxmlformats.org/officeDocument/2006/relationships/hyperlink" Target="https://ayuda.tiendanube.com/es_AR/123518-aplicaciones-de-canales-de-venta/como-integrar-astroselling-con-mi-tienda" TargetMode="External"/><Relationship Id="rId19" Type="http://schemas.openxmlformats.org/officeDocument/2006/relationships/hyperlink" Target="https://www.astroselling.com/es/ar/" TargetMode="External"/><Relationship Id="rId20" Type="http://schemas.openxmlformats.org/officeDocument/2006/relationships/hyperlink" Target="https://help.astroselling.com/es/collections/3653305-conectar-e-commer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VTEX vs. Tiendanube — Saracho Neumáticos</dc:title>
  <dc:subject>Evaluación de plataforma e integradores</dc:subject>
  <dc:creator>Saracho Neumáticos</dc:creator>
  <cp:keywords>VTEX, Tiendanube, Producteca, Astroselling, Pirce, ecommerce</cp:keywords>
  <dc:description>generated by python-docx</dc:description>
  <cp:lastModifiedBy/>
  <cp:revision>1</cp:revision>
  <dcterms:created xsi:type="dcterms:W3CDTF">2013-12-23T23:15:00Z</dcterms:created>
  <dcterms:modified xsi:type="dcterms:W3CDTF">2013-12-23T23:15:00Z</dcterms:modified>
  <cp:category/>
</cp:coreProperties>
</file>