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jc w:val="center"/>
      </w:pPr>
      <w:r>
        <w:rPr>
          <w:rFonts w:ascii="Calibri" w:hAnsi="Calibri"/>
          <w:b/>
          <w:color w:val="0E918C"/>
          <w:sz w:val="26"/>
        </w:rPr>
        <w:t>AML SCREENING</w:t>
      </w:r>
    </w:p>
    <w:p>
      <w:pPr>
        <w:pStyle w:val="Title"/>
        <w:jc w:val="center"/>
      </w:pPr>
      <w:r>
        <w:t>Portal Project Documentation</w:t>
      </w:r>
    </w:p>
    <w:p>
      <w:pPr>
        <w:pStyle w:val="Subtitle"/>
        <w:jc w:val="center"/>
      </w:pPr>
      <w:r>
        <w:t>Architecture, Menus, Database, Stored Procedures and Operational Flows</w:t>
      </w:r>
    </w:p>
    <w:p>
      <w:pPr>
        <w:spacing w:before="560" w:after="80"/>
        <w:jc w:val="center"/>
      </w:pPr>
      <w:r>
        <w:rPr>
          <w:rFonts w:ascii="Calibri" w:hAnsi="Calibri"/>
          <w:i/>
          <w:color w:val="344054"/>
          <w:sz w:val="22"/>
        </w:rPr>
        <w:t>Implementation reference for Development, UAT and Production preparation</w:t>
      </w:r>
    </w:p>
    <w:p>
      <w:pPr>
        <w:spacing w:before="1760"/>
        <w:jc w:val="center"/>
      </w:pPr>
    </w:p>
    <w:p>
      <w:pPr>
        <w:spacing w:after="60"/>
        <w:jc w:val="center"/>
      </w:pPr>
      <w:r>
        <w:rPr>
          <w:rFonts w:ascii="Calibri" w:hAnsi="Calibri"/>
          <w:b/>
          <w:color w:val="667085"/>
          <w:sz w:val="20"/>
        </w:rPr>
        <w:t xml:space="preserve">Document version: </w:t>
      </w:r>
      <w:r>
        <w:rPr>
          <w:rFonts w:ascii="Calibri" w:hAnsi="Calibri"/>
          <w:color w:val="344054"/>
          <w:sz w:val="20"/>
        </w:rPr>
        <w:t>1.0</w:t>
      </w:r>
    </w:p>
    <w:p>
      <w:pPr>
        <w:spacing w:after="60"/>
        <w:jc w:val="center"/>
      </w:pPr>
      <w:r>
        <w:rPr>
          <w:rFonts w:ascii="Calibri" w:hAnsi="Calibri"/>
          <w:b/>
          <w:color w:val="667085"/>
          <w:sz w:val="20"/>
        </w:rPr>
        <w:t xml:space="preserve">Prepared: </w:t>
      </w:r>
      <w:r>
        <w:rPr>
          <w:rFonts w:ascii="Calibri" w:hAnsi="Calibri"/>
          <w:color w:val="344054"/>
          <w:sz w:val="20"/>
        </w:rPr>
        <w:t>1 September 2026</w:t>
      </w:r>
    </w:p>
    <w:p>
      <w:pPr>
        <w:spacing w:after="60"/>
        <w:jc w:val="center"/>
      </w:pPr>
      <w:r>
        <w:rPr>
          <w:rFonts w:ascii="Calibri" w:hAnsi="Calibri"/>
          <w:b/>
          <w:color w:val="667085"/>
          <w:sz w:val="20"/>
        </w:rPr>
        <w:t xml:space="preserve">Application: </w:t>
      </w:r>
      <w:r>
        <w:rPr>
          <w:rFonts w:ascii="Calibri" w:hAnsi="Calibri"/>
          <w:color w:val="344054"/>
          <w:sz w:val="20"/>
        </w:rPr>
        <w:t>AmlScreening.Portal (.NET 10 MVC)</w:t>
      </w:r>
    </w:p>
    <w:p>
      <w:pPr>
        <w:spacing w:after="60"/>
        <w:jc w:val="center"/>
      </w:pPr>
      <w:r>
        <w:rPr>
          <w:rFonts w:ascii="Calibri" w:hAnsi="Calibri"/>
          <w:b/>
          <w:color w:val="667085"/>
          <w:sz w:val="20"/>
        </w:rPr>
        <w:t xml:space="preserve">Database: </w:t>
      </w:r>
      <w:r>
        <w:rPr>
          <w:rFonts w:ascii="Calibri" w:hAnsi="Calibri"/>
          <w:color w:val="344054"/>
          <w:sz w:val="20"/>
        </w:rPr>
        <w:t>SQL Server - AMLScreening</w:t>
      </w:r>
    </w:p>
    <w:p>
      <w:pPr>
        <w:spacing w:after="60"/>
        <w:jc w:val="center"/>
      </w:pPr>
      <w:r>
        <w:rPr>
          <w:rFonts w:ascii="Calibri" w:hAnsi="Calibri"/>
          <w:b/>
          <w:color w:val="667085"/>
          <w:sz w:val="20"/>
        </w:rPr>
        <w:t xml:space="preserve">Scope: </w:t>
      </w:r>
      <w:r>
        <w:rPr>
          <w:rFonts w:ascii="Calibri" w:hAnsi="Calibri"/>
          <w:color w:val="344054"/>
          <w:sz w:val="20"/>
        </w:rPr>
        <w:t>Portal implementation; client API remains a separate future project</w:t>
      </w:r>
    </w:p>
    <w:p>
      <w:r>
        <w:br w:type="page"/>
      </w:r>
    </w:p>
    <w:p>
      <w:pPr>
        <w:pStyle w:val="Heading1"/>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after="0"/>
              <w:jc w:val="left"/>
            </w:pPr>
            <w:r>
              <w:rPr>
                <w:rFonts w:ascii="Calibri" w:hAnsi="Calibri"/>
                <w:b/>
                <w:color w:val="0B2545"/>
                <w:sz w:val="19"/>
              </w:rPr>
              <w:t>Item</w:t>
            </w:r>
          </w:p>
        </w:tc>
        <w:tc>
          <w:tcPr>
            <w:tcW w:type="dxa" w:w="6660"/>
            <w:shd w:fill="E8EEF5"/>
            <w:vAlign w:val="center"/>
            <w:tcMar>
              <w:top w:w="80" w:type="dxa"/>
              <w:start w:w="120" w:type="dxa"/>
              <w:bottom w:w="80" w:type="dxa"/>
              <w:end w:w="120" w:type="dxa"/>
            </w:tcMar>
          </w:tcPr>
          <w:p>
            <w:pPr>
              <w:spacing w:after="0"/>
              <w:jc w:val="left"/>
            </w:pPr>
            <w:r>
              <w:rPr>
                <w:rFonts w:ascii="Calibri" w:hAnsi="Calibri"/>
                <w:b/>
                <w:color w:val="0B2545"/>
                <w:sz w:val="19"/>
              </w:rPr>
              <w:t>Detail</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9"/>
              </w:rPr>
              <w:t>Purpose</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9"/>
              </w:rPr>
              <w:t>Describe the implemented AML Screening portal for developers, testers, administrators and compliance users.</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9"/>
              </w:rPr>
              <w:t>System status</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9"/>
              </w:rPr>
              <w:t>Portal workflow and database migration are implemented. The external client API is explicitly deferred.</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9"/>
              </w:rPr>
              <w:t>Evidence basis</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9"/>
              </w:rPr>
              <w:t>Current source code, applied SQL Server schema, live menu/permission catalog and passing integration tests.</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9"/>
              </w:rPr>
              <w:t>Confidentiality</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9"/>
              </w:rPr>
              <w:t>Internal project and controlled client/UAT use.</w:t>
            </w:r>
          </w:p>
        </w:tc>
      </w:tr>
    </w:tbl>
    <w:p>
      <w:pPr>
        <w:spacing w:before="80" w:after="80"/>
      </w:pPr>
    </w:p>
    <w:p>
      <w:pPr>
        <w:keepLines/>
        <w:spacing w:before="100" w:after="180" w:line="276" w:lineRule="auto"/>
        <w:ind w:left="173" w:right="72"/>
        <w:shd w:fill="E7F5F3"/>
        <w:pBdr>
          <w:left w:val="single" w:sz="18" w:space="8" w:color="0E918C"/>
        </w:pBdr>
      </w:pPr>
      <w:r>
        <w:rPr>
          <w:rFonts w:ascii="Calibri" w:hAnsi="Calibri"/>
          <w:b/>
          <w:color w:val="0B2545"/>
          <w:sz w:val="22"/>
        </w:rPr>
        <w:t xml:space="preserve">Current state: </w:t>
      </w:r>
      <w:r>
        <w:rPr>
          <w:rFonts w:ascii="Calibri" w:hAnsi="Calibri"/>
          <w:color w:val="344054"/>
          <w:sz w:val="22"/>
        </w:rPr>
        <w:t>The live database contains 19 dbo tables and 3 stored procedures. The portal uses EF Core and Dapper inline queries for its active paths; the procedures are documented as legacy/support objects and are not currently invoked by the C# repositories.</w:t>
      </w:r>
    </w:p>
    <w:p>
      <w:pPr>
        <w:pStyle w:val="Heading1"/>
      </w:pPr>
      <w:r>
        <w:t>Contents</w:t>
      </w:r>
    </w:p>
    <w:p>
      <w:pPr>
        <w:spacing w:after="80" w:line="300" w:lineRule="auto"/>
        <w:numPr>
          <w:ilvl w:val="0"/>
          <w:numId w:val="11"/>
        </w:numPr>
      </w:pPr>
      <w:r>
        <w:rPr>
          <w:rFonts w:ascii="Calibri" w:hAnsi="Calibri"/>
          <w:color w:val="000000"/>
          <w:sz w:val="22"/>
        </w:rPr>
        <w:t>Project purpose and scope</w:t>
      </w:r>
    </w:p>
    <w:p>
      <w:pPr>
        <w:spacing w:after="80" w:line="300" w:lineRule="auto"/>
        <w:numPr>
          <w:ilvl w:val="0"/>
          <w:numId w:val="11"/>
        </w:numPr>
      </w:pPr>
      <w:r>
        <w:rPr>
          <w:rFonts w:ascii="Calibri" w:hAnsi="Calibri"/>
          <w:color w:val="000000"/>
          <w:sz w:val="22"/>
        </w:rPr>
        <w:t>Solution architecture and responsibilities</w:t>
      </w:r>
    </w:p>
    <w:p>
      <w:pPr>
        <w:spacing w:after="80" w:line="300" w:lineRule="auto"/>
        <w:numPr>
          <w:ilvl w:val="0"/>
          <w:numId w:val="11"/>
        </w:numPr>
      </w:pPr>
      <w:r>
        <w:rPr>
          <w:rFonts w:ascii="Calibri" w:hAnsi="Calibri"/>
          <w:color w:val="000000"/>
          <w:sz w:val="22"/>
        </w:rPr>
        <w:t>Authentication, authorization and tenant isolation</w:t>
      </w:r>
    </w:p>
    <w:p>
      <w:pPr>
        <w:spacing w:after="80" w:line="300" w:lineRule="auto"/>
        <w:numPr>
          <w:ilvl w:val="0"/>
          <w:numId w:val="11"/>
        </w:numPr>
      </w:pPr>
      <w:r>
        <w:rPr>
          <w:rFonts w:ascii="Calibri" w:hAnsi="Calibri"/>
          <w:color w:val="000000"/>
          <w:sz w:val="22"/>
        </w:rPr>
        <w:t>Menu-by-menu functional guide</w:t>
      </w:r>
    </w:p>
    <w:p>
      <w:pPr>
        <w:spacing w:after="80" w:line="300" w:lineRule="auto"/>
        <w:numPr>
          <w:ilvl w:val="0"/>
          <w:numId w:val="11"/>
        </w:numPr>
      </w:pPr>
      <w:r>
        <w:rPr>
          <w:rFonts w:ascii="Calibri" w:hAnsi="Calibri"/>
          <w:color w:val="000000"/>
          <w:sz w:val="22"/>
        </w:rPr>
        <w:t>End-to-end AML and compliance workflow</w:t>
      </w:r>
    </w:p>
    <w:p>
      <w:pPr>
        <w:spacing w:after="80" w:line="300" w:lineRule="auto"/>
        <w:numPr>
          <w:ilvl w:val="0"/>
          <w:numId w:val="11"/>
        </w:numPr>
      </w:pPr>
      <w:r>
        <w:rPr>
          <w:rFonts w:ascii="Calibri" w:hAnsi="Calibri"/>
          <w:color w:val="000000"/>
          <w:sz w:val="22"/>
        </w:rPr>
        <w:t>Risk scoring and decision logic</w:t>
      </w:r>
    </w:p>
    <w:p>
      <w:pPr>
        <w:spacing w:after="80" w:line="300" w:lineRule="auto"/>
        <w:numPr>
          <w:ilvl w:val="0"/>
          <w:numId w:val="11"/>
        </w:numPr>
      </w:pPr>
      <w:r>
        <w:rPr>
          <w:rFonts w:ascii="Calibri" w:hAnsi="Calibri"/>
          <w:color w:val="000000"/>
          <w:sz w:val="22"/>
        </w:rPr>
        <w:t>Database architecture and table dictionary</w:t>
      </w:r>
    </w:p>
    <w:p>
      <w:pPr>
        <w:spacing w:after="80" w:line="300" w:lineRule="auto"/>
        <w:numPr>
          <w:ilvl w:val="0"/>
          <w:numId w:val="11"/>
        </w:numPr>
      </w:pPr>
      <w:r>
        <w:rPr>
          <w:rFonts w:ascii="Calibri" w:hAnsi="Calibri"/>
          <w:color w:val="000000"/>
          <w:sz w:val="22"/>
        </w:rPr>
        <w:t>Stored procedure catalog and SQL definitions</w:t>
      </w:r>
    </w:p>
    <w:p>
      <w:pPr>
        <w:spacing w:after="80" w:line="300" w:lineRule="auto"/>
        <w:numPr>
          <w:ilvl w:val="0"/>
          <w:numId w:val="11"/>
        </w:numPr>
      </w:pPr>
      <w:r>
        <w:rPr>
          <w:rFonts w:ascii="Calibri" w:hAnsi="Calibri"/>
          <w:color w:val="000000"/>
          <w:sz w:val="22"/>
        </w:rPr>
        <w:t>Data access, audit, soft delete and concurrency</w:t>
      </w:r>
    </w:p>
    <w:p>
      <w:pPr>
        <w:spacing w:after="80" w:line="300" w:lineRule="auto"/>
        <w:numPr>
          <w:ilvl w:val="0"/>
          <w:numId w:val="11"/>
        </w:numPr>
      </w:pPr>
      <w:r>
        <w:rPr>
          <w:rFonts w:ascii="Calibri" w:hAnsi="Calibri"/>
          <w:color w:val="000000"/>
          <w:sz w:val="22"/>
        </w:rPr>
        <w:t>Permissions and access-control matrix</w:t>
      </w:r>
    </w:p>
    <w:p>
      <w:pPr>
        <w:spacing w:after="80" w:line="300" w:lineRule="auto"/>
        <w:numPr>
          <w:ilvl w:val="0"/>
          <w:numId w:val="11"/>
        </w:numPr>
      </w:pPr>
      <w:r>
        <w:rPr>
          <w:rFonts w:ascii="Calibri" w:hAnsi="Calibri"/>
          <w:color w:val="000000"/>
          <w:sz w:val="22"/>
        </w:rPr>
        <w:t>Configuration, migration, UAT and production guidance</w:t>
      </w:r>
    </w:p>
    <w:p>
      <w:pPr>
        <w:spacing w:after="80" w:line="300" w:lineRule="auto"/>
        <w:numPr>
          <w:ilvl w:val="0"/>
          <w:numId w:val="11"/>
        </w:numPr>
      </w:pPr>
      <w:r>
        <w:rPr>
          <w:rFonts w:ascii="Calibri" w:hAnsi="Calibri"/>
          <w:color w:val="000000"/>
          <w:sz w:val="22"/>
        </w:rPr>
        <w:t>Testing evidence, limitations and remaining work</w:t>
      </w:r>
    </w:p>
    <w:p>
      <w:pPr>
        <w:spacing w:after="80" w:line="300" w:lineRule="auto"/>
        <w:numPr>
          <w:ilvl w:val="0"/>
          <w:numId w:val="11"/>
        </w:numPr>
      </w:pPr>
      <w:r>
        <w:rPr>
          <w:rFonts w:ascii="Calibri" w:hAnsi="Calibri"/>
          <w:color w:val="000000"/>
          <w:sz w:val="22"/>
        </w:rPr>
        <w:t>Appendices: project structure, scripts and glossary</w:t>
      </w:r>
    </w:p>
    <w:p>
      <w:pPr>
        <w:pStyle w:val="Heading1"/>
      </w:pPr>
      <w:r>
        <w:t>1. Project purpose and scope</w:t>
      </w:r>
    </w:p>
    <w:p>
      <w:pPr>
        <w:keepLines w:val="0"/>
        <w:spacing w:after="120"/>
      </w:pPr>
      <w:r>
        <w:rPr>
          <w:rFonts w:ascii="Calibri" w:hAnsi="Calibri"/>
          <w:i w:val="0"/>
          <w:color w:val="000000"/>
          <w:sz w:val="22"/>
        </w:rPr>
        <w:t>The AML Screening Portal is a multi-client web application for managing screening lists, customer KYC profiles, compliance transactions, risk rules, screening evidence, automated decisions, alerts, cases, users, roles and audit history. It is designed as the operational portal that compliance staff use before a separate integration API is introduced.</w:t>
      </w:r>
    </w:p>
    <w:p>
      <w:pPr>
        <w:keepLines w:val="0"/>
        <w:spacing w:after="120"/>
      </w:pPr>
      <w:r>
        <w:rPr>
          <w:rFonts w:ascii="Calibri" w:hAnsi="Calibri"/>
          <w:i w:val="0"/>
          <w:color w:val="000000"/>
          <w:sz w:val="22"/>
        </w:rPr>
        <w:t>The implemented prototype supports a practical transaction journey from customer creation to ALLOW, REVIEW or BLOCK. It is suitable for development and controlled UAT after environment configuration, but it is not yet a complete production sanctions platform because automated list ingestion, maker-checker approval, client API credentials and advanced transaction-monitoring models remain future work.</w:t>
      </w:r>
    </w:p>
    <w:p>
      <w:pPr>
        <w:pStyle w:val="Heading2"/>
      </w:pPr>
      <w:r>
        <w:t>Implemented scope</w:t>
      </w:r>
    </w:p>
    <w:p>
      <w:pPr>
        <w:pStyle w:val="ListBullet"/>
        <w:keepLines/>
        <w:spacing w:after="80" w:line="300" w:lineRule="auto"/>
      </w:pPr>
      <w:r>
        <w:rPr>
          <w:rFonts w:ascii="Calibri" w:hAnsi="Calibri"/>
          <w:color w:val="000000"/>
          <w:sz w:val="22"/>
        </w:rPr>
        <w:t>Cookie-based login with username/IP rate limiting and password hashing.</w:t>
      </w:r>
    </w:p>
    <w:p>
      <w:pPr>
        <w:pStyle w:val="ListBullet"/>
        <w:keepLines/>
        <w:spacing w:after="80" w:line="300" w:lineRule="auto"/>
      </w:pPr>
      <w:r>
        <w:rPr>
          <w:rFonts w:ascii="Calibri" w:hAnsi="Calibri"/>
          <w:color w:val="000000"/>
          <w:sz w:val="22"/>
        </w:rPr>
        <w:t>Role permissions plus per-user grant or deny overrides.</w:t>
      </w:r>
    </w:p>
    <w:p>
      <w:pPr>
        <w:pStyle w:val="ListBullet"/>
        <w:keepLines/>
        <w:spacing w:after="80" w:line="300" w:lineRule="auto"/>
      </w:pPr>
      <w:r>
        <w:rPr>
          <w:rFonts w:ascii="Calibri" w:hAnsi="Calibri"/>
          <w:color w:val="000000"/>
          <w:sz w:val="22"/>
        </w:rPr>
        <w:t>Database-driven sidebar menu definitions.</w:t>
      </w:r>
    </w:p>
    <w:p>
      <w:pPr>
        <w:pStyle w:val="ListBullet"/>
        <w:keepLines/>
        <w:spacing w:after="80" w:line="300" w:lineRule="auto"/>
      </w:pPr>
      <w:r>
        <w:rPr>
          <w:rFonts w:ascii="Calibri" w:hAnsi="Calibri"/>
          <w:color w:val="000000"/>
          <w:sz w:val="22"/>
        </w:rPr>
        <w:t>Client-level query isolation and AML-record ownership controls.</w:t>
      </w:r>
    </w:p>
    <w:p>
      <w:pPr>
        <w:pStyle w:val="ListBullet"/>
        <w:keepLines/>
        <w:spacing w:after="80" w:line="300" w:lineRule="auto"/>
      </w:pPr>
      <w:r>
        <w:rPr>
          <w:rFonts w:ascii="Calibri" w:hAnsi="Calibri"/>
          <w:color w:val="000000"/>
          <w:sz w:val="22"/>
        </w:rPr>
        <w:t>AML record add, edit, pagination and soft delete.</w:t>
      </w:r>
    </w:p>
    <w:p>
      <w:pPr>
        <w:pStyle w:val="ListBullet"/>
        <w:keepLines/>
        <w:spacing w:after="80" w:line="300" w:lineRule="auto"/>
      </w:pPr>
      <w:r>
        <w:rPr>
          <w:rFonts w:ascii="Calibri" w:hAnsi="Calibri"/>
          <w:color w:val="000000"/>
          <w:sz w:val="22"/>
        </w:rPr>
        <w:t>Customer/KYC management and initial customer risk scoring.</w:t>
      </w:r>
    </w:p>
    <w:p>
      <w:pPr>
        <w:pStyle w:val="ListBullet"/>
        <w:keepLines/>
        <w:spacing w:after="80" w:line="300" w:lineRule="auto"/>
      </w:pPr>
      <w:r>
        <w:rPr>
          <w:rFonts w:ascii="Calibri" w:hAnsi="Calibri"/>
          <w:color w:val="000000"/>
          <w:sz w:val="22"/>
        </w:rPr>
        <w:t>Transaction capture, screening, rule evaluation and persisted decisions.</w:t>
      </w:r>
    </w:p>
    <w:p>
      <w:pPr>
        <w:pStyle w:val="ListBullet"/>
        <w:keepLines/>
        <w:spacing w:after="80" w:line="300" w:lineRule="auto"/>
      </w:pPr>
      <w:r>
        <w:rPr>
          <w:rFonts w:ascii="Calibri" w:hAnsi="Calibri"/>
          <w:color w:val="000000"/>
          <w:sz w:val="22"/>
        </w:rPr>
        <w:t>Compliance alerts, cases and audit records.</w:t>
      </w:r>
    </w:p>
    <w:p>
      <w:pPr>
        <w:pStyle w:val="ListBullet"/>
        <w:keepLines/>
        <w:spacing w:after="80" w:line="300" w:lineRule="auto"/>
      </w:pPr>
      <w:r>
        <w:rPr>
          <w:rFonts w:ascii="Calibri" w:hAnsi="Calibri"/>
          <w:color w:val="000000"/>
          <w:sz w:val="22"/>
        </w:rPr>
        <w:t>Subscription plan management with soft delete and concurrency handling.</w:t>
      </w:r>
    </w:p>
    <w:p>
      <w:pPr>
        <w:pStyle w:val="ListBullet"/>
        <w:keepLines/>
        <w:spacing w:after="80" w:line="300" w:lineRule="auto"/>
      </w:pPr>
      <w:r>
        <w:rPr>
          <w:rFonts w:ascii="Calibri" w:hAnsi="Calibri"/>
          <w:color w:val="000000"/>
          <w:sz w:val="22"/>
        </w:rPr>
        <w:t>Separate Development, UAT and Production configuration placeholders.</w:t>
      </w:r>
    </w:p>
    <w:p>
      <w:pPr>
        <w:pStyle w:val="ListBullet"/>
        <w:keepLines/>
        <w:spacing w:after="80" w:line="300" w:lineRule="auto"/>
      </w:pPr>
      <w:r>
        <w:rPr>
          <w:rFonts w:ascii="Calibri" w:hAnsi="Calibri"/>
          <w:color w:val="000000"/>
          <w:sz w:val="22"/>
        </w:rPr>
        <w:t>SQL Server and in-memory integration tests.</w:t>
      </w:r>
    </w:p>
    <w:p>
      <w:pPr>
        <w:pStyle w:val="Heading2"/>
      </w:pPr>
      <w:r>
        <w:t>Deferred scope</w:t>
      </w:r>
    </w:p>
    <w:p>
      <w:pPr>
        <w:pStyle w:val="ListBullet"/>
        <w:keepLines/>
        <w:spacing w:after="80" w:line="300" w:lineRule="auto"/>
      </w:pPr>
      <w:r>
        <w:rPr>
          <w:rFonts w:ascii="Calibri" w:hAnsi="Calibri"/>
          <w:color w:val="000000"/>
          <w:sz w:val="22"/>
        </w:rPr>
        <w:t>External client API project, API credentials, OAuth2/mTLS and idempotency.</w:t>
      </w:r>
    </w:p>
    <w:p>
      <w:pPr>
        <w:pStyle w:val="ListBullet"/>
        <w:keepLines/>
        <w:spacing w:after="80" w:line="300" w:lineRule="auto"/>
      </w:pPr>
      <w:r>
        <w:rPr>
          <w:rFonts w:ascii="Calibri" w:hAnsi="Calibri"/>
          <w:color w:val="000000"/>
          <w:sz w:val="22"/>
        </w:rPr>
        <w:t>Automated PEP, UN, EU, CIB and sanctions-list import/version pipelines.</w:t>
      </w:r>
    </w:p>
    <w:p>
      <w:pPr>
        <w:pStyle w:val="ListBullet"/>
        <w:keepLines/>
        <w:spacing w:after="80" w:line="300" w:lineRule="auto"/>
      </w:pPr>
      <w:r>
        <w:rPr>
          <w:rFonts w:ascii="Calibri" w:hAnsi="Calibri"/>
          <w:color w:val="000000"/>
          <w:sz w:val="22"/>
        </w:rPr>
        <w:t>Country-risk masters, customer baselines, structuring detection and network analytics.</w:t>
      </w:r>
    </w:p>
    <w:p>
      <w:pPr>
        <w:pStyle w:val="ListBullet"/>
        <w:keepLines/>
        <w:spacing w:after="80" w:line="300" w:lineRule="auto"/>
      </w:pPr>
      <w:r>
        <w:rPr>
          <w:rFonts w:ascii="Calibri" w:hAnsi="Calibri"/>
          <w:color w:val="000000"/>
          <w:sz w:val="22"/>
        </w:rPr>
        <w:t>Maker-checker approval workflow for rule and watchlist changes.</w:t>
      </w:r>
    </w:p>
    <w:p>
      <w:pPr>
        <w:pStyle w:val="ListBullet"/>
        <w:keepLines/>
        <w:spacing w:after="80" w:line="300" w:lineRule="auto"/>
      </w:pPr>
      <w:r>
        <w:rPr>
          <w:rFonts w:ascii="Calibri" w:hAnsi="Calibri"/>
          <w:color w:val="000000"/>
          <w:sz w:val="22"/>
        </w:rPr>
        <w:t>Evidence attachments, regulatory STR/SAR submission and production case notes timeline.</w:t>
      </w:r>
    </w:p>
    <w:p>
      <w:pPr>
        <w:pStyle w:val="ListBullet"/>
        <w:keepLines/>
        <w:spacing w:after="80" w:line="300" w:lineRule="auto"/>
      </w:pPr>
      <w:r>
        <w:rPr>
          <w:rFonts w:ascii="Calibri" w:hAnsi="Calibri"/>
          <w:color w:val="000000"/>
          <w:sz w:val="22"/>
        </w:rPr>
        <w:t>Distributed cache, message bus, outbox workers and search engine integration at scale.</w:t>
      </w:r>
    </w:p>
    <w:p>
      <w:pPr>
        <w:pStyle w:val="Heading1"/>
      </w:pPr>
      <w:r>
        <w:t>2. Solution architecture and responsibilities</w:t>
      </w:r>
    </w:p>
    <w:p>
      <w:pPr>
        <w:keepNext/>
        <w:keepLines/>
        <w:spacing w:before="100" w:after="0" w:line="240" w:lineRule="auto"/>
        <w:ind w:left="259" w:right="115"/>
        <w:shd w:fill="F2F4F7"/>
        <w:pBdr>
          <w:left w:val="single" w:sz="12" w:space="6" w:color="2E74B5"/>
        </w:pBdr>
      </w:pPr>
      <w:r>
        <w:rPr>
          <w:rFonts w:ascii="Consolas" w:hAnsi="Consolas"/>
          <w:color w:val="0B2545"/>
          <w:sz w:val="16"/>
        </w:rPr>
        <w:t>Browser / Razor Views</w:t>
      </w:r>
    </w:p>
    <w:p>
      <w:pPr>
        <w:keepNext/>
        <w:keepLines/>
        <w:spacing w:before="0" w:after="0" w:line="240" w:lineRule="auto"/>
        <w:ind w:left="259" w:right="115"/>
        <w:shd w:fill="F2F4F7"/>
      </w:pPr>
      <w:r>
        <w:rPr>
          <w:rFonts w:ascii="Consolas" w:hAnsi="Consolas"/>
          <w:color w:val="0B2545"/>
          <w:sz w:val="16"/>
        </w:rPr>
        <w:t xml:space="preserve">        -&gt; MVC Controllers and authorization policies</w:t>
      </w:r>
    </w:p>
    <w:p>
      <w:pPr>
        <w:keepNext/>
        <w:keepLines/>
        <w:spacing w:before="0" w:after="0" w:line="240" w:lineRule="auto"/>
        <w:ind w:left="259" w:right="115"/>
        <w:shd w:fill="F2F4F7"/>
      </w:pPr>
      <w:r>
        <w:rPr>
          <w:rFonts w:ascii="Consolas" w:hAnsi="Consolas"/>
          <w:color w:val="0B2545"/>
          <w:sz w:val="16"/>
        </w:rPr>
        <w:t xml:space="preserve">        -&gt; Application interfaces and authentication models</w:t>
      </w:r>
    </w:p>
    <w:p>
      <w:pPr>
        <w:keepNext/>
        <w:keepLines/>
        <w:spacing w:before="0" w:after="0" w:line="240" w:lineRule="auto"/>
        <w:ind w:left="259" w:right="115"/>
        <w:shd w:fill="F2F4F7"/>
      </w:pPr>
      <w:r>
        <w:rPr>
          <w:rFonts w:ascii="Consolas" w:hAnsi="Consolas"/>
          <w:color w:val="0B2545"/>
          <w:sz w:val="16"/>
        </w:rPr>
        <w:t xml:space="preserve">        -&gt; Infrastructure repositories and workflow services</w:t>
      </w:r>
    </w:p>
    <w:p>
      <w:pPr>
        <w:keepNext/>
        <w:keepLines/>
        <w:spacing w:before="0" w:after="0" w:line="240" w:lineRule="auto"/>
        <w:ind w:left="259" w:right="115"/>
        <w:shd w:fill="F2F4F7"/>
      </w:pPr>
      <w:r>
        <w:rPr>
          <w:rFonts w:ascii="Consolas" w:hAnsi="Consolas"/>
          <w:color w:val="0B2545"/>
          <w:sz w:val="16"/>
        </w:rPr>
        <w:t xml:space="preserve">        -&gt; EF Core / Dapper / SQL Server</w:t>
      </w:r>
    </w:p>
    <w:p>
      <w:pPr>
        <w:keepNext w:val="0"/>
        <w:keepLines/>
        <w:spacing w:before="0" w:after="160" w:line="240" w:lineRule="auto"/>
        <w:ind w:left="259" w:right="115"/>
        <w:shd w:fill="F2F4F7"/>
      </w:pPr>
      <w:r>
        <w:rPr>
          <w:rFonts w:ascii="Consolas" w:hAnsi="Consolas"/>
          <w:color w:val="0B2545"/>
          <w:sz w:val="16"/>
        </w:rPr>
        <w:t xml:space="preserve">        -&gt; Audit evidence and client-scoped records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vAlign w:val="center"/>
            <w:tcMar>
              <w:top w:w="80" w:type="dxa"/>
              <w:start w:w="120" w:type="dxa"/>
              <w:bottom w:w="80" w:type="dxa"/>
              <w:end w:w="120" w:type="dxa"/>
            </w:tcMar>
          </w:tcPr>
          <w:p>
            <w:pPr>
              <w:spacing w:after="0"/>
              <w:jc w:val="left"/>
            </w:pPr>
            <w:r>
              <w:rPr>
                <w:rFonts w:ascii="Calibri" w:hAnsi="Calibri"/>
                <w:b/>
                <w:color w:val="0B2545"/>
                <w:sz w:val="18"/>
              </w:rPr>
              <w:t>Layer/project</w:t>
            </w:r>
          </w:p>
        </w:tc>
        <w:tc>
          <w:tcPr>
            <w:tcW w:type="dxa" w:w="6660"/>
            <w:shd w:fill="E8EEF5"/>
            <w:vAlign w:val="center"/>
            <w:tcMar>
              <w:top w:w="80" w:type="dxa"/>
              <w:start w:w="120" w:type="dxa"/>
              <w:bottom w:w="80" w:type="dxa"/>
              <w:end w:w="120" w:type="dxa"/>
            </w:tcMar>
          </w:tcPr>
          <w:p>
            <w:pPr>
              <w:spacing w:after="0"/>
              <w:jc w:val="left"/>
            </w:pPr>
            <w:r>
              <w:rPr>
                <w:rFonts w:ascii="Calibri" w:hAnsi="Calibri"/>
                <w:b/>
                <w:color w:val="0B2545"/>
                <w:sz w:val="18"/>
              </w:rPr>
              <w:t>Responsibility</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8"/>
              </w:rPr>
              <w:t>AmlScreening.Portal</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8"/>
              </w:rPr>
              <w:t>MVC controllers, Razor views, authentication cookie, rate limiter, authorization handlers and current-user context.</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8"/>
              </w:rPr>
              <w:t>AmlScreening.Application</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8"/>
              </w:rPr>
              <w:t>Interfaces, permission constants, login service, DTOs and workflow result models.</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8"/>
              </w:rPr>
              <w:t>AmlScreening.Domain</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8"/>
              </w:rPr>
              <w:t>Business entities for users, clients, AML records, customers, transactions, rules, decisions, alerts and cases.</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8"/>
              </w:rPr>
              <w:t>AmlScreening.Infrastructure</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8"/>
              </w:rPr>
              <w:t>EF Core DbContext, Dapper connection factory, repositories, menu service, audit service and AML workflow engine.</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8"/>
              </w:rPr>
              <w:t>Database</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8"/>
              </w:rPr>
              <w:t>Versioned SQL scripts for isolation, permissions, menus, compliance rules, workflow tables and deployment preparation.</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8"/>
              </w:rPr>
              <w:t>IntegrationTests</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8"/>
              </w:rPr>
              <w:t>Cross-client checks, schema checks and repository behavior tests.</w:t>
            </w:r>
          </w:p>
        </w:tc>
      </w:tr>
      <w:tr>
        <w:trPr>
          <w:cantSplit/>
        </w:trPr>
        <w:tc>
          <w:tcPr>
            <w:tcW w:type="dxa" w:w="2700"/>
            <w:vAlign w:val="center"/>
            <w:tcMar>
              <w:top w:w="80" w:type="dxa"/>
              <w:start w:w="120" w:type="dxa"/>
              <w:bottom w:w="80" w:type="dxa"/>
              <w:end w:w="120" w:type="dxa"/>
            </w:tcMar>
          </w:tcPr>
          <w:p>
            <w:pPr>
              <w:spacing w:after="0" w:line="259" w:lineRule="auto"/>
            </w:pPr>
            <w:r>
              <w:rPr>
                <w:rFonts w:ascii="Calibri" w:hAnsi="Calibri"/>
                <w:color w:val="344054"/>
                <w:sz w:val="18"/>
              </w:rPr>
              <w:t>DatabaseMigrator</w:t>
            </w:r>
          </w:p>
        </w:tc>
        <w:tc>
          <w:tcPr>
            <w:tcW w:type="dxa" w:w="6660"/>
            <w:vAlign w:val="center"/>
            <w:tcMar>
              <w:top w:w="80" w:type="dxa"/>
              <w:start w:w="120" w:type="dxa"/>
              <w:bottom w:w="80" w:type="dxa"/>
              <w:end w:w="120" w:type="dxa"/>
            </w:tcMar>
          </w:tcPr>
          <w:p>
            <w:pPr>
              <w:spacing w:after="0" w:line="259" w:lineRule="auto"/>
            </w:pPr>
            <w:r>
              <w:rPr>
                <w:rFonts w:ascii="Calibri" w:hAnsi="Calibri"/>
                <w:color w:val="344054"/>
                <w:sz w:val="18"/>
              </w:rPr>
              <w:t>Small command-line runner for controlled execution of SQL migration scripts.</w:t>
            </w:r>
          </w:p>
        </w:tc>
      </w:tr>
    </w:tbl>
    <w:p>
      <w:pPr>
        <w:spacing w:before="80" w:after="80"/>
      </w:pPr>
    </w:p>
    <w:p>
      <w:pPr>
        <w:pStyle w:val="Heading2"/>
      </w:pPr>
      <w:r>
        <w:t>Design principles used</w:t>
      </w:r>
    </w:p>
    <w:p>
      <w:pPr>
        <w:pStyle w:val="ListBullet"/>
        <w:keepLines/>
        <w:spacing w:after="80" w:line="300" w:lineRule="auto"/>
      </w:pPr>
      <w:r>
        <w:rPr>
          <w:rFonts w:ascii="Calibri" w:hAnsi="Calibri"/>
          <w:color w:val="000000"/>
          <w:sz w:val="22"/>
        </w:rPr>
        <w:t>Single responsibility: controllers coordinate HTTP behavior; repositories/services perform data and business work.</w:t>
      </w:r>
    </w:p>
    <w:p>
      <w:pPr>
        <w:pStyle w:val="ListBullet"/>
        <w:keepLines/>
        <w:spacing w:after="80" w:line="300" w:lineRule="auto"/>
      </w:pPr>
      <w:r>
        <w:rPr>
          <w:rFonts w:ascii="Calibri" w:hAnsi="Calibri"/>
          <w:color w:val="000000"/>
          <w:sz w:val="22"/>
        </w:rPr>
        <w:t>Dependency inversion: controllers depend on application interfaces rather than concrete SQL implementations.</w:t>
      </w:r>
    </w:p>
    <w:p>
      <w:pPr>
        <w:pStyle w:val="ListBullet"/>
        <w:keepLines/>
        <w:spacing w:after="80" w:line="300" w:lineRule="auto"/>
      </w:pPr>
      <w:r>
        <w:rPr>
          <w:rFonts w:ascii="Calibri" w:hAnsi="Calibri"/>
          <w:color w:val="000000"/>
          <w:sz w:val="22"/>
        </w:rPr>
        <w:t>Encapsulation: current user, client and permissions are exposed through ICurrentUserContext.</w:t>
      </w:r>
    </w:p>
    <w:p>
      <w:pPr>
        <w:pStyle w:val="ListBullet"/>
        <w:keepLines/>
        <w:spacing w:after="80" w:line="300" w:lineRule="auto"/>
      </w:pPr>
      <w:r>
        <w:rPr>
          <w:rFonts w:ascii="Calibri" w:hAnsi="Calibri"/>
          <w:color w:val="000000"/>
          <w:sz w:val="22"/>
        </w:rPr>
        <w:t>Open/closed direction: new menu items, permissions and rules can be added without rewriting the layout.</w:t>
      </w:r>
    </w:p>
    <w:p>
      <w:pPr>
        <w:pStyle w:val="ListBullet"/>
        <w:keepLines/>
        <w:spacing w:after="80" w:line="300" w:lineRule="auto"/>
      </w:pPr>
      <w:r>
        <w:rPr>
          <w:rFonts w:ascii="Calibri" w:hAnsi="Calibri"/>
          <w:color w:val="000000"/>
          <w:sz w:val="22"/>
        </w:rPr>
        <w:t>Defense in depth: menu filtering improves usability while controller policies and query scoping enforce security.</w:t>
      </w:r>
    </w:p>
    <w:p>
      <w:pPr>
        <w:pStyle w:val="Heading1"/>
      </w:pPr>
      <w:r>
        <w:t>3. Authentication, authorization and tenant isolation</w:t>
      </w:r>
    </w:p>
    <w:p>
      <w:pPr>
        <w:pStyle w:val="Heading2"/>
      </w:pPr>
      <w:r>
        <w:t>Login flow</w:t>
      </w:r>
    </w:p>
    <w:p>
      <w:pPr>
        <w:spacing w:after="80" w:line="300" w:lineRule="auto"/>
        <w:numPr>
          <w:ilvl w:val="0"/>
          <w:numId w:val="12"/>
        </w:numPr>
      </w:pPr>
      <w:r>
        <w:rPr>
          <w:rFonts w:ascii="Calibri" w:hAnsi="Calibri"/>
          <w:color w:val="000000"/>
          <w:sz w:val="22"/>
        </w:rPr>
        <w:t>The user submits a username, password and optional remember-me selection.</w:t>
      </w:r>
    </w:p>
    <w:p>
      <w:pPr>
        <w:spacing w:after="80" w:line="300" w:lineRule="auto"/>
        <w:numPr>
          <w:ilvl w:val="0"/>
          <w:numId w:val="12"/>
        </w:numPr>
      </w:pPr>
      <w:r>
        <w:rPr>
          <w:rFonts w:ascii="Calibri" w:hAnsi="Calibri"/>
          <w:color w:val="000000"/>
          <w:sz w:val="22"/>
        </w:rPr>
        <w:t>The login rate limiter partitions attempts by normalized username and remote IP address.</w:t>
      </w:r>
    </w:p>
    <w:p>
      <w:pPr>
        <w:spacing w:after="80" w:line="300" w:lineRule="auto"/>
        <w:numPr>
          <w:ilvl w:val="0"/>
          <w:numId w:val="12"/>
        </w:numPr>
      </w:pPr>
      <w:r>
        <w:rPr>
          <w:rFonts w:ascii="Calibri" w:hAnsi="Calibri"/>
          <w:color w:val="000000"/>
          <w:sz w:val="22"/>
        </w:rPr>
        <w:t>UserRepository loads the active user and active role from Users, UserRoles and Roles.</w:t>
      </w:r>
    </w:p>
    <w:p>
      <w:pPr>
        <w:spacing w:after="80" w:line="300" w:lineRule="auto"/>
        <w:numPr>
          <w:ilvl w:val="0"/>
          <w:numId w:val="12"/>
        </w:numPr>
      </w:pPr>
      <w:r>
        <w:rPr>
          <w:rFonts w:ascii="Calibri" w:hAnsi="Calibri"/>
          <w:color w:val="000000"/>
          <w:sz w:val="22"/>
        </w:rPr>
        <w:t>PasswordService verifies the stored password hash in application code.</w:t>
      </w:r>
    </w:p>
    <w:p>
      <w:pPr>
        <w:spacing w:after="80" w:line="300" w:lineRule="auto"/>
        <w:numPr>
          <w:ilvl w:val="0"/>
          <w:numId w:val="12"/>
        </w:numPr>
      </w:pPr>
      <w:r>
        <w:rPr>
          <w:rFonts w:ascii="Calibri" w:hAnsi="Calibri"/>
          <w:color w:val="000000"/>
          <w:sz w:val="22"/>
        </w:rPr>
        <w:t>Role permissions are combined with UserPermissions overrides. IsGranted allows an explicit grant or deny.</w:t>
      </w:r>
    </w:p>
    <w:p>
      <w:pPr>
        <w:spacing w:after="80" w:line="300" w:lineRule="auto"/>
        <w:numPr>
          <w:ilvl w:val="0"/>
          <w:numId w:val="12"/>
        </w:numPr>
      </w:pPr>
      <w:r>
        <w:rPr>
          <w:rFonts w:ascii="Calibri" w:hAnsi="Calibri"/>
          <w:color w:val="000000"/>
          <w:sz w:val="22"/>
        </w:rPr>
        <w:t>The portal creates claims for user ID, ClientId, username, full name, role and permissions.</w:t>
      </w:r>
    </w:p>
    <w:p>
      <w:pPr>
        <w:spacing w:after="80" w:line="300" w:lineRule="auto"/>
        <w:numPr>
          <w:ilvl w:val="0"/>
          <w:numId w:val="12"/>
        </w:numPr>
      </w:pPr>
      <w:r>
        <w:rPr>
          <w:rFonts w:ascii="Calibri" w:hAnsi="Calibri"/>
          <w:color w:val="000000"/>
          <w:sz w:val="22"/>
        </w:rPr>
        <w:t>The secure authentication cookie is issued and the user is redirected to Dashboard.</w:t>
      </w:r>
    </w:p>
    <w:p>
      <w:pPr>
        <w:spacing w:after="80" w:line="300" w:lineRule="auto"/>
        <w:numPr>
          <w:ilvl w:val="0"/>
          <w:numId w:val="12"/>
        </w:numPr>
      </w:pPr>
      <w:r>
        <w:rPr>
          <w:rFonts w:ascii="Calibri" w:hAnsi="Calibri"/>
          <w:color w:val="000000"/>
          <w:sz w:val="22"/>
        </w:rPr>
        <w:t>A login audit event is written; an audit failure is logged without preventing a valid login.</w:t>
      </w:r>
    </w:p>
    <w:p>
      <w:pPr>
        <w:keepLines/>
        <w:spacing w:before="100" w:after="180" w:line="276" w:lineRule="auto"/>
        <w:ind w:left="173" w:right="72"/>
        <w:shd w:fill="E7F5F3"/>
        <w:pBdr>
          <w:left w:val="single" w:sz="18" w:space="8" w:color="0E918C"/>
        </w:pBdr>
      </w:pPr>
      <w:r>
        <w:rPr>
          <w:rFonts w:ascii="Calibri" w:hAnsi="Calibri"/>
          <w:b/>
          <w:color w:val="0B2545"/>
          <w:sz w:val="22"/>
        </w:rPr>
        <w:t xml:space="preserve">Rate limit: </w:t>
      </w:r>
      <w:r>
        <w:rPr>
          <w:rFonts w:ascii="Calibri" w:hAnsi="Calibri"/>
          <w:color w:val="344054"/>
          <w:sz w:val="22"/>
        </w:rPr>
        <w:t>The current fixed window permits five login POST attempts per username and IP combination per minute. Browser tabs share the same cookie, so opening more tabs does not create separate login sessions.</w:t>
      </w:r>
    </w:p>
    <w:p>
      <w:pPr>
        <w:pStyle w:val="Heading2"/>
      </w:pPr>
      <w:r>
        <w:t>Permission resolution</w:t>
      </w:r>
    </w:p>
    <w:p>
      <w:pPr>
        <w:keepNext/>
        <w:keepLines/>
        <w:spacing w:before="100" w:after="0" w:line="240" w:lineRule="auto"/>
        <w:ind w:left="259" w:right="115"/>
        <w:shd w:fill="F2F4F7"/>
        <w:pBdr>
          <w:left w:val="single" w:sz="12" w:space="6" w:color="2E74B5"/>
        </w:pBdr>
      </w:pPr>
      <w:r>
        <w:rPr>
          <w:rFonts w:ascii="Consolas" w:hAnsi="Consolas"/>
          <w:color w:val="0B2545"/>
          <w:sz w:val="16"/>
        </w:rPr>
        <w:t>Role permission exists and no user override -&gt; granted</w:t>
      </w:r>
    </w:p>
    <w:p>
      <w:pPr>
        <w:keepNext/>
        <w:keepLines/>
        <w:spacing w:before="0" w:after="0" w:line="240" w:lineRule="auto"/>
        <w:ind w:left="259" w:right="115"/>
        <w:shd w:fill="F2F4F7"/>
      </w:pPr>
      <w:r>
        <w:rPr>
          <w:rFonts w:ascii="Consolas" w:hAnsi="Consolas"/>
          <w:color w:val="0B2545"/>
          <w:sz w:val="16"/>
        </w:rPr>
        <w:t>Role permission exists and user override IsGranted = 0 -&gt; denied</w:t>
      </w:r>
    </w:p>
    <w:p>
      <w:pPr>
        <w:keepNext/>
        <w:keepLines/>
        <w:spacing w:before="0" w:after="0" w:line="240" w:lineRule="auto"/>
        <w:ind w:left="259" w:right="115"/>
        <w:shd w:fill="F2F4F7"/>
      </w:pPr>
      <w:r>
        <w:rPr>
          <w:rFonts w:ascii="Consolas" w:hAnsi="Consolas"/>
          <w:color w:val="0B2545"/>
          <w:sz w:val="16"/>
        </w:rPr>
        <w:t>Role permission absent and user override IsGranted = 1 -&gt; granted</w:t>
      </w:r>
    </w:p>
    <w:p>
      <w:pPr>
        <w:keepNext w:val="0"/>
        <w:keepLines/>
        <w:spacing w:before="0" w:after="160" w:line="240" w:lineRule="auto"/>
        <w:ind w:left="259" w:right="115"/>
        <w:shd w:fill="F2F4F7"/>
      </w:pPr>
      <w:r>
        <w:rPr>
          <w:rFonts w:ascii="Consolas" w:hAnsi="Consolas"/>
          <w:color w:val="0B2545"/>
          <w:sz w:val="16"/>
        </w:rPr>
        <w:t>Neither role permission nor user grant exists -&gt; denied</w:t>
      </w:r>
    </w:p>
    <w:p>
      <w:pPr>
        <w:keepLines w:val="0"/>
        <w:spacing w:after="120"/>
      </w:pPr>
      <w:r>
        <w:rPr>
          <w:rFonts w:ascii="Calibri" w:hAnsi="Calibri"/>
          <w:i w:val="0"/>
          <w:color w:val="000000"/>
          <w:sz w:val="22"/>
        </w:rPr>
        <w:t>Menu visibility is based on MenuItems.PermissionCode. Actual access is separately enforced by [Authorize(Policy = ...)] on controllers and actions. A hidden menu is therefore not treated as the security boundary.</w:t>
      </w:r>
    </w:p>
    <w:p>
      <w:pPr>
        <w:pStyle w:val="Heading2"/>
      </w:pPr>
      <w:r>
        <w:t>Client and owner scope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vAlign w:val="center"/>
            <w:tcMar>
              <w:top w:w="80" w:type="dxa"/>
              <w:start w:w="120" w:type="dxa"/>
              <w:bottom w:w="80" w:type="dxa"/>
              <w:end w:w="120" w:type="dxa"/>
            </w:tcMar>
          </w:tcPr>
          <w:p>
            <w:pPr>
              <w:spacing w:after="0"/>
              <w:jc w:val="left"/>
            </w:pPr>
            <w:r>
              <w:rPr>
                <w:rFonts w:ascii="Calibri" w:hAnsi="Calibri"/>
                <w:b/>
                <w:color w:val="0B2545"/>
                <w:sz w:val="18"/>
              </w:rPr>
              <w:t>Control</w:t>
            </w:r>
          </w:p>
        </w:tc>
        <w:tc>
          <w:tcPr>
            <w:tcW w:type="dxa" w:w="6760"/>
            <w:shd w:fill="E8EEF5"/>
            <w:vAlign w:val="center"/>
            <w:tcMar>
              <w:top w:w="80" w:type="dxa"/>
              <w:start w:w="120" w:type="dxa"/>
              <w:bottom w:w="80" w:type="dxa"/>
              <w:end w:w="120" w:type="dxa"/>
            </w:tcMar>
          </w:tcPr>
          <w:p>
            <w:pPr>
              <w:spacing w:after="0"/>
              <w:jc w:val="left"/>
            </w:pPr>
            <w:r>
              <w:rPr>
                <w:rFonts w:ascii="Calibri" w:hAnsi="Calibri"/>
                <w:b/>
                <w:color w:val="0B2545"/>
                <w:sz w:val="18"/>
              </w:rPr>
              <w:t>Use</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344054"/>
                <w:sz w:val="18"/>
              </w:rPr>
              <w:t>ClientId</w:t>
            </w:r>
          </w:p>
        </w:tc>
        <w:tc>
          <w:tcPr>
            <w:tcW w:type="dxa" w:w="6760"/>
            <w:vAlign w:val="center"/>
            <w:tcMar>
              <w:top w:w="80" w:type="dxa"/>
              <w:start w:w="120" w:type="dxa"/>
              <w:bottom w:w="80" w:type="dxa"/>
              <w:end w:w="120" w:type="dxa"/>
            </w:tcMar>
          </w:tcPr>
          <w:p>
            <w:pPr>
              <w:spacing w:after="0" w:line="259" w:lineRule="auto"/>
            </w:pPr>
            <w:r>
              <w:rPr>
                <w:rFonts w:ascii="Calibri" w:hAnsi="Calibri"/>
                <w:color w:val="344054"/>
                <w:sz w:val="18"/>
              </w:rPr>
              <w:t>Separates organizations. Client-scoped data queries are limited to the logged-in user's ClientId unless the platform-wide permission applies.</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344054"/>
                <w:sz w:val="18"/>
              </w:rPr>
              <w:t>OwnerUserId</w:t>
            </w:r>
          </w:p>
        </w:tc>
        <w:tc>
          <w:tcPr>
            <w:tcW w:type="dxa" w:w="6760"/>
            <w:vAlign w:val="center"/>
            <w:tcMar>
              <w:top w:w="80" w:type="dxa"/>
              <w:start w:w="120" w:type="dxa"/>
              <w:bottom w:w="80" w:type="dxa"/>
              <w:end w:w="120" w:type="dxa"/>
            </w:tcMar>
          </w:tcPr>
          <w:p>
            <w:pPr>
              <w:spacing w:after="0" w:line="259" w:lineRule="auto"/>
            </w:pPr>
            <w:r>
              <w:rPr>
                <w:rFonts w:ascii="Calibri" w:hAnsi="Calibri"/>
                <w:color w:val="344054"/>
                <w:sz w:val="18"/>
              </w:rPr>
              <w:t>Used by AmlRecords to restrict ordinary users to records they created.</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344054"/>
                <w:sz w:val="18"/>
              </w:rPr>
              <w:t>AMLRecords.ViewClient</w:t>
            </w:r>
          </w:p>
        </w:tc>
        <w:tc>
          <w:tcPr>
            <w:tcW w:type="dxa" w:w="6760"/>
            <w:vAlign w:val="center"/>
            <w:tcMar>
              <w:top w:w="80" w:type="dxa"/>
              <w:start w:w="120" w:type="dxa"/>
              <w:bottom w:w="80" w:type="dxa"/>
              <w:end w:w="120" w:type="dxa"/>
            </w:tcMar>
          </w:tcPr>
          <w:p>
            <w:pPr>
              <w:spacing w:after="0" w:line="259" w:lineRule="auto"/>
            </w:pPr>
            <w:r>
              <w:rPr>
                <w:rFonts w:ascii="Calibri" w:hAnsi="Calibri"/>
                <w:color w:val="344054"/>
                <w:sz w:val="18"/>
              </w:rPr>
              <w:t>Allows a user to view all AML records belonging to the current client, including records created by an administrator.</w:t>
            </w:r>
          </w:p>
        </w:tc>
      </w:tr>
      <w:tr>
        <w:trPr>
          <w:cantSplit/>
        </w:trPr>
        <w:tc>
          <w:tcPr>
            <w:tcW w:type="dxa" w:w="2600"/>
            <w:vAlign w:val="center"/>
            <w:tcMar>
              <w:top w:w="80" w:type="dxa"/>
              <w:start w:w="120" w:type="dxa"/>
              <w:bottom w:w="80" w:type="dxa"/>
              <w:end w:w="120" w:type="dxa"/>
            </w:tcMar>
          </w:tcPr>
          <w:p>
            <w:pPr>
              <w:spacing w:after="0" w:line="259" w:lineRule="auto"/>
            </w:pPr>
            <w:r>
              <w:rPr>
                <w:rFonts w:ascii="Calibri" w:hAnsi="Calibri"/>
                <w:color w:val="344054"/>
                <w:sz w:val="18"/>
              </w:rPr>
              <w:t>AMLRecords.ViewAll</w:t>
            </w:r>
          </w:p>
        </w:tc>
        <w:tc>
          <w:tcPr>
            <w:tcW w:type="dxa" w:w="6760"/>
            <w:vAlign w:val="center"/>
            <w:tcMar>
              <w:top w:w="80" w:type="dxa"/>
              <w:start w:w="120" w:type="dxa"/>
              <w:bottom w:w="80" w:type="dxa"/>
              <w:end w:w="120" w:type="dxa"/>
            </w:tcMar>
          </w:tcPr>
          <w:p>
            <w:pPr>
              <w:spacing w:after="0" w:line="259" w:lineRule="auto"/>
            </w:pPr>
            <w:r>
              <w:rPr>
                <w:rFonts w:ascii="Calibri" w:hAnsi="Calibri"/>
                <w:color w:val="344054"/>
                <w:sz w:val="18"/>
              </w:rPr>
              <w:t>Platform-level access across clients. This permission also bypasses EF Core client filters and must be assigned only to trusted platform administrators.</w:t>
            </w:r>
          </w:p>
        </w:tc>
      </w:tr>
    </w:tbl>
    <w:p>
      <w:pPr>
        <w:spacing w:before="80" w:after="80"/>
      </w:pPr>
    </w:p>
    <w:p>
      <w:pPr>
        <w:keepLines/>
        <w:spacing w:before="100" w:after="180" w:line="276" w:lineRule="auto"/>
        <w:ind w:left="173" w:right="72"/>
        <w:shd w:fill="FFF7E6"/>
        <w:pBdr>
          <w:left w:val="single" w:sz="18" w:space="8" w:color="7A5A00"/>
        </w:pBdr>
      </w:pPr>
      <w:r>
        <w:rPr>
          <w:rFonts w:ascii="Calibri" w:hAnsi="Calibri"/>
          <w:b/>
          <w:color w:val="0B2545"/>
          <w:sz w:val="22"/>
        </w:rPr>
        <w:t xml:space="preserve">Current limitation: </w:t>
      </w:r>
      <w:r>
        <w:rPr>
          <w:rFonts w:ascii="Calibri" w:hAnsi="Calibri"/>
          <w:color w:val="344054"/>
          <w:sz w:val="22"/>
        </w:rPr>
        <w:t>Customers, transactions, alerts and cases are client-wide rather than owner-user-specific. If each client employee must see only their own customer workflow records, add OwnerUserId and resource authorization to those tables and services.</w:t>
      </w:r>
    </w:p>
    <w:p>
      <w:pPr>
        <w:pStyle w:val="Heading1"/>
      </w:pPr>
      <w:r>
        <w:t>4. Menu-by-menu functional guide</w:t>
      </w:r>
    </w:p>
    <w:p>
      <w:pPr>
        <w:keepLines w:val="0"/>
        <w:spacing w:after="120"/>
      </w:pPr>
      <w:r>
        <w:rPr>
          <w:rFonts w:ascii="Calibri" w:hAnsi="Calibri"/>
          <w:i w:val="0"/>
          <w:color w:val="000000"/>
          <w:sz w:val="22"/>
        </w:rPr>
        <w:t>Menu definitions are loaded from dbo.MenuItems. ParentMenuId creates the Compliance submenu. PermissionCode controls visibility, while ControllerName and ActionName identify the MVC destination.</w:t>
      </w:r>
    </w:p>
    <w:p>
      <w:pPr>
        <w:pStyle w:val="Heading2"/>
      </w:pPr>
      <w:r>
        <w:t>Dashboard</w:t>
      </w:r>
    </w:p>
    <w:p>
      <w:pPr>
        <w:keepLines/>
        <w:spacing w:after="60"/>
      </w:pPr>
      <w:r>
        <w:rPr>
          <w:rFonts w:ascii="Calibri" w:hAnsi="Calibri"/>
          <w:b/>
          <w:color w:val="0B2545"/>
          <w:sz w:val="22"/>
        </w:rPr>
        <w:t xml:space="preserve">Route: </w:t>
      </w:r>
      <w:r>
        <w:rPr>
          <w:rFonts w:ascii="Calibri" w:hAnsi="Calibri"/>
          <w:color w:val="344054"/>
          <w:sz w:val="22"/>
        </w:rPr>
        <w:t>/Dashboard/Index</w:t>
      </w:r>
    </w:p>
    <w:p>
      <w:pPr>
        <w:keepLines/>
        <w:spacing w:after="60"/>
      </w:pPr>
      <w:r>
        <w:rPr>
          <w:rFonts w:ascii="Calibri" w:hAnsi="Calibri"/>
          <w:b/>
          <w:color w:val="0B2545"/>
          <w:sz w:val="22"/>
        </w:rPr>
        <w:t xml:space="preserve">Required permission: </w:t>
      </w:r>
      <w:r>
        <w:rPr>
          <w:rFonts w:ascii="Calibri" w:hAnsi="Calibri"/>
          <w:color w:val="344054"/>
          <w:sz w:val="22"/>
        </w:rPr>
        <w:t>Authenticated user</w:t>
      </w:r>
    </w:p>
    <w:p>
      <w:pPr>
        <w:keepLines w:val="0"/>
        <w:spacing w:after="120"/>
      </w:pPr>
      <w:r>
        <w:rPr>
          <w:rFonts w:ascii="Calibri" w:hAnsi="Calibri"/>
          <w:i w:val="0"/>
          <w:color w:val="344054"/>
          <w:sz w:val="22"/>
        </w:rPr>
        <w:t>Provides a summary landing page after login. It combines AML record metrics and compliance workflow counts.</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Show total and active AML records.</w:t>
      </w:r>
    </w:p>
    <w:p>
      <w:pPr>
        <w:pStyle w:val="ListBullet"/>
        <w:keepLines/>
        <w:spacing w:after="80" w:line="300" w:lineRule="auto"/>
      </w:pPr>
      <w:r>
        <w:rPr>
          <w:rFonts w:ascii="Calibri" w:hAnsi="Calibri"/>
          <w:color w:val="000000"/>
          <w:sz w:val="22"/>
        </w:rPr>
        <w:t>Show transaction count and decisions requiring review or block.</w:t>
      </w:r>
    </w:p>
    <w:p>
      <w:pPr>
        <w:pStyle w:val="ListBullet"/>
        <w:keepLines/>
        <w:spacing w:after="80" w:line="300" w:lineRule="auto"/>
      </w:pPr>
      <w:r>
        <w:rPr>
          <w:rFonts w:ascii="Calibri" w:hAnsi="Calibri"/>
          <w:color w:val="000000"/>
          <w:sz w:val="22"/>
        </w:rPr>
        <w:t>Show open alert and open case counts.</w:t>
      </w:r>
    </w:p>
    <w:p>
      <w:pPr>
        <w:pStyle w:val="ListBullet"/>
        <w:keepLines/>
        <w:spacing w:after="80" w:line="300" w:lineRule="auto"/>
      </w:pPr>
      <w:r>
        <w:rPr>
          <w:rFonts w:ascii="Calibri" w:hAnsi="Calibri"/>
          <w:color w:val="000000"/>
          <w:sz w:val="22"/>
        </w:rPr>
        <w:t>Display identity and role information from authentication claims.</w:t>
      </w:r>
    </w:p>
    <w:p>
      <w:pPr>
        <w:keepLines/>
        <w:spacing w:after="60"/>
      </w:pPr>
      <w:r>
        <w:rPr>
          <w:rFonts w:ascii="Calibri" w:hAnsi="Calibri"/>
          <w:b/>
          <w:color w:val="0B2545"/>
          <w:sz w:val="22"/>
        </w:rPr>
        <w:t xml:space="preserve">Primary tables: </w:t>
      </w:r>
      <w:r>
        <w:rPr>
          <w:rFonts w:ascii="Calibri" w:hAnsi="Calibri"/>
          <w:color w:val="344054"/>
          <w:sz w:val="22"/>
        </w:rPr>
        <w:t>AmlRecords, AmlTransactions, ComplianceAlerts, ComplianceCases</w:t>
      </w:r>
    </w:p>
    <w:p>
      <w:pPr>
        <w:keepLines/>
        <w:spacing w:before="100" w:after="180" w:line="276" w:lineRule="auto"/>
        <w:ind w:left="173" w:right="72"/>
        <w:shd w:fill="FFF7E6"/>
        <w:pBdr>
          <w:left w:val="single" w:sz="18" w:space="8" w:color="7A5A00"/>
        </w:pBdr>
      </w:pPr>
      <w:r>
        <w:rPr>
          <w:rFonts w:ascii="Calibri" w:hAnsi="Calibri"/>
          <w:b/>
          <w:color w:val="0B2545"/>
          <w:sz w:val="22"/>
        </w:rPr>
        <w:t xml:space="preserve">Important: </w:t>
      </w:r>
      <w:r>
        <w:rPr>
          <w:rFonts w:ascii="Calibri" w:hAnsi="Calibri"/>
          <w:color w:val="344054"/>
          <w:sz w:val="22"/>
        </w:rPr>
        <w:t>Dashboard values are now loaded from repositories/services rather than remaining fully hardcoded. Trend visuals may still require historical aggregation for production accuracy.</w:t>
      </w:r>
    </w:p>
    <w:p>
      <w:pPr>
        <w:pStyle w:val="Heading2"/>
      </w:pPr>
      <w:r>
        <w:t>AML Records</w:t>
      </w:r>
    </w:p>
    <w:p>
      <w:pPr>
        <w:keepLines/>
        <w:spacing w:after="60"/>
      </w:pPr>
      <w:r>
        <w:rPr>
          <w:rFonts w:ascii="Calibri" w:hAnsi="Calibri"/>
          <w:b/>
          <w:color w:val="0B2545"/>
          <w:sz w:val="22"/>
        </w:rPr>
        <w:t xml:space="preserve">Route: </w:t>
      </w:r>
      <w:r>
        <w:rPr>
          <w:rFonts w:ascii="Calibri" w:hAnsi="Calibri"/>
          <w:color w:val="344054"/>
          <w:sz w:val="22"/>
        </w:rPr>
        <w:t>/AmlRecords/Index</w:t>
      </w:r>
    </w:p>
    <w:p>
      <w:pPr>
        <w:keepLines/>
        <w:spacing w:after="60"/>
      </w:pPr>
      <w:r>
        <w:rPr>
          <w:rFonts w:ascii="Calibri" w:hAnsi="Calibri"/>
          <w:b/>
          <w:color w:val="0B2545"/>
          <w:sz w:val="22"/>
        </w:rPr>
        <w:t xml:space="preserve">Required permission: </w:t>
      </w:r>
      <w:r>
        <w:rPr>
          <w:rFonts w:ascii="Calibri" w:hAnsi="Calibri"/>
          <w:color w:val="344054"/>
          <w:sz w:val="22"/>
        </w:rPr>
        <w:t>AMLRecords.View</w:t>
      </w:r>
    </w:p>
    <w:p>
      <w:pPr>
        <w:keepLines w:val="0"/>
        <w:spacing w:after="120"/>
      </w:pPr>
      <w:r>
        <w:rPr>
          <w:rFonts w:ascii="Calibri" w:hAnsi="Calibri"/>
          <w:i w:val="0"/>
          <w:color w:val="344054"/>
          <w:sz w:val="22"/>
        </w:rPr>
        <w:t>Maintains the AML screening list data used during transaction evaluation. Records can represent individuals or entities from PEP, UN, EU, CIB and other sources.</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View paginated records.</w:t>
      </w:r>
    </w:p>
    <w:p>
      <w:pPr>
        <w:pStyle w:val="ListBullet"/>
        <w:keepLines/>
        <w:spacing w:after="80" w:line="300" w:lineRule="auto"/>
      </w:pPr>
      <w:r>
        <w:rPr>
          <w:rFonts w:ascii="Calibri" w:hAnsi="Calibri"/>
          <w:color w:val="000000"/>
          <w:sz w:val="22"/>
        </w:rPr>
        <w:t>Search by name, reference or source.</w:t>
      </w:r>
    </w:p>
    <w:p>
      <w:pPr>
        <w:pStyle w:val="ListBullet"/>
        <w:keepLines/>
        <w:spacing w:after="80" w:line="300" w:lineRule="auto"/>
      </w:pPr>
      <w:r>
        <w:rPr>
          <w:rFonts w:ascii="Calibri" w:hAnsi="Calibri"/>
          <w:color w:val="000000"/>
          <w:sz w:val="22"/>
        </w:rPr>
        <w:t>Filter by record type and active status.</w:t>
      </w:r>
    </w:p>
    <w:p>
      <w:pPr>
        <w:pStyle w:val="ListBullet"/>
        <w:keepLines/>
        <w:spacing w:after="80" w:line="300" w:lineRule="auto"/>
      </w:pPr>
      <w:r>
        <w:rPr>
          <w:rFonts w:ascii="Calibri" w:hAnsi="Calibri"/>
          <w:color w:val="000000"/>
          <w:sz w:val="22"/>
        </w:rPr>
        <w:t>Add records with AMLRecords.Create.</w:t>
      </w:r>
    </w:p>
    <w:p>
      <w:pPr>
        <w:pStyle w:val="ListBullet"/>
        <w:keepLines/>
        <w:spacing w:after="80" w:line="300" w:lineRule="auto"/>
      </w:pPr>
      <w:r>
        <w:rPr>
          <w:rFonts w:ascii="Calibri" w:hAnsi="Calibri"/>
          <w:color w:val="000000"/>
          <w:sz w:val="22"/>
        </w:rPr>
        <w:t>Edit records with AMLRecords.Edit.</w:t>
      </w:r>
    </w:p>
    <w:p>
      <w:pPr>
        <w:pStyle w:val="ListBullet"/>
        <w:keepLines/>
        <w:spacing w:after="80" w:line="300" w:lineRule="auto"/>
      </w:pPr>
      <w:r>
        <w:rPr>
          <w:rFonts w:ascii="Calibri" w:hAnsi="Calibri"/>
          <w:color w:val="000000"/>
          <w:sz w:val="22"/>
        </w:rPr>
        <w:t>Soft delete records with AMLRecords.Delete.</w:t>
      </w:r>
    </w:p>
    <w:p>
      <w:pPr>
        <w:keepLines/>
        <w:spacing w:after="60"/>
      </w:pPr>
      <w:r>
        <w:rPr>
          <w:rFonts w:ascii="Calibri" w:hAnsi="Calibri"/>
          <w:b/>
          <w:color w:val="0B2545"/>
          <w:sz w:val="22"/>
        </w:rPr>
        <w:t xml:space="preserve">Primary tables: </w:t>
      </w:r>
      <w:r>
        <w:rPr>
          <w:rFonts w:ascii="Calibri" w:hAnsi="Calibri"/>
          <w:color w:val="344054"/>
          <w:sz w:val="22"/>
        </w:rPr>
        <w:t>AmlRecords, AuditLogs</w:t>
      </w:r>
    </w:p>
    <w:p>
      <w:pPr>
        <w:keepLines/>
        <w:spacing w:before="100" w:after="180" w:line="276" w:lineRule="auto"/>
        <w:ind w:left="173" w:right="72"/>
        <w:shd w:fill="FFF7E6"/>
        <w:pBdr>
          <w:left w:val="single" w:sz="18" w:space="8" w:color="7A5A00"/>
        </w:pBdr>
      </w:pPr>
      <w:r>
        <w:rPr>
          <w:rFonts w:ascii="Calibri" w:hAnsi="Calibri"/>
          <w:b/>
          <w:color w:val="0B2545"/>
          <w:sz w:val="22"/>
        </w:rPr>
        <w:t xml:space="preserve">Important: </w:t>
      </w:r>
      <w:r>
        <w:rPr>
          <w:rFonts w:ascii="Calibri" w:hAnsi="Calibri"/>
          <w:color w:val="344054"/>
          <w:sz w:val="22"/>
        </w:rPr>
        <w:t>Ordinary users see their own records unless AMLRecords.ViewClient is granted. Client-wide master data should normally be managed by trusted users and shared within the same client.</w:t>
      </w:r>
    </w:p>
    <w:p>
      <w:pPr>
        <w:pStyle w:val="Heading2"/>
      </w:pPr>
      <w:r>
        <w:t>Users</w:t>
      </w:r>
    </w:p>
    <w:p>
      <w:pPr>
        <w:keepLines/>
        <w:spacing w:after="60"/>
      </w:pPr>
      <w:r>
        <w:rPr>
          <w:rFonts w:ascii="Calibri" w:hAnsi="Calibri"/>
          <w:b/>
          <w:color w:val="0B2545"/>
          <w:sz w:val="22"/>
        </w:rPr>
        <w:t xml:space="preserve">Route: </w:t>
      </w:r>
      <w:r>
        <w:rPr>
          <w:rFonts w:ascii="Calibri" w:hAnsi="Calibri"/>
          <w:color w:val="344054"/>
          <w:sz w:val="22"/>
        </w:rPr>
        <w:t>/Users/Index</w:t>
      </w:r>
    </w:p>
    <w:p>
      <w:pPr>
        <w:keepLines/>
        <w:spacing w:after="60"/>
      </w:pPr>
      <w:r>
        <w:rPr>
          <w:rFonts w:ascii="Calibri" w:hAnsi="Calibri"/>
          <w:b/>
          <w:color w:val="0B2545"/>
          <w:sz w:val="22"/>
        </w:rPr>
        <w:t xml:space="preserve">Required permission: </w:t>
      </w:r>
      <w:r>
        <w:rPr>
          <w:rFonts w:ascii="Calibri" w:hAnsi="Calibri"/>
          <w:color w:val="344054"/>
          <w:sz w:val="22"/>
        </w:rPr>
        <w:t>Users.View</w:t>
      </w:r>
    </w:p>
    <w:p>
      <w:pPr>
        <w:keepLines w:val="0"/>
        <w:spacing w:after="120"/>
      </w:pPr>
      <w:r>
        <w:rPr>
          <w:rFonts w:ascii="Calibri" w:hAnsi="Calibri"/>
          <w:i w:val="0"/>
          <w:color w:val="344054"/>
          <w:sz w:val="22"/>
        </w:rPr>
        <w:t>Creates and lists portal users for the permitted client scope. Clicking the user name opens individual access editing.</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List active and inactive users with pagination.</w:t>
      </w:r>
    </w:p>
    <w:p>
      <w:pPr>
        <w:pStyle w:val="ListBullet"/>
        <w:keepLines/>
        <w:spacing w:after="80" w:line="300" w:lineRule="auto"/>
      </w:pPr>
      <w:r>
        <w:rPr>
          <w:rFonts w:ascii="Calibri" w:hAnsi="Calibri"/>
          <w:color w:val="000000"/>
          <w:sz w:val="22"/>
        </w:rPr>
        <w:t>Create a user and assign a role with Users.Create.</w:t>
      </w:r>
    </w:p>
    <w:p>
      <w:pPr>
        <w:pStyle w:val="ListBullet"/>
        <w:keepLines/>
        <w:spacing w:after="80" w:line="300" w:lineRule="auto"/>
      </w:pPr>
      <w:r>
        <w:rPr>
          <w:rFonts w:ascii="Calibri" w:hAnsi="Calibri"/>
          <w:color w:val="000000"/>
          <w:sz w:val="22"/>
        </w:rPr>
        <w:t>Open individual access from the user name.</w:t>
      </w:r>
    </w:p>
    <w:p>
      <w:pPr>
        <w:pStyle w:val="ListBullet"/>
        <w:keepLines/>
        <w:spacing w:after="80" w:line="300" w:lineRule="auto"/>
      </w:pPr>
      <w:r>
        <w:rPr>
          <w:rFonts w:ascii="Calibri" w:hAnsi="Calibri"/>
          <w:color w:val="000000"/>
          <w:sz w:val="22"/>
        </w:rPr>
        <w:t>Apply per-user permission grants or denies with Roles.Manage.</w:t>
      </w:r>
    </w:p>
    <w:p>
      <w:pPr>
        <w:keepLines/>
        <w:spacing w:after="60"/>
      </w:pPr>
      <w:r>
        <w:rPr>
          <w:rFonts w:ascii="Calibri" w:hAnsi="Calibri"/>
          <w:b/>
          <w:color w:val="0B2545"/>
          <w:sz w:val="22"/>
        </w:rPr>
        <w:t xml:space="preserve">Primary tables: </w:t>
      </w:r>
      <w:r>
        <w:rPr>
          <w:rFonts w:ascii="Calibri" w:hAnsi="Calibri"/>
          <w:color w:val="344054"/>
          <w:sz w:val="22"/>
        </w:rPr>
        <w:t>Users, UserRoles, Roles, UserPermissions, Permissions, AuditLogs</w:t>
      </w:r>
    </w:p>
    <w:p>
      <w:pPr>
        <w:pStyle w:val="Heading2"/>
      </w:pPr>
      <w:r>
        <w:t>Roles &amp; Permissions</w:t>
      </w:r>
    </w:p>
    <w:p>
      <w:pPr>
        <w:keepLines/>
        <w:spacing w:after="60"/>
      </w:pPr>
      <w:r>
        <w:rPr>
          <w:rFonts w:ascii="Calibri" w:hAnsi="Calibri"/>
          <w:b/>
          <w:color w:val="0B2545"/>
          <w:sz w:val="22"/>
        </w:rPr>
        <w:t xml:space="preserve">Route: </w:t>
      </w:r>
      <w:r>
        <w:rPr>
          <w:rFonts w:ascii="Calibri" w:hAnsi="Calibri"/>
          <w:color w:val="344054"/>
          <w:sz w:val="22"/>
        </w:rPr>
        <w:t>/Roles/Index</w:t>
      </w:r>
    </w:p>
    <w:p>
      <w:pPr>
        <w:keepLines/>
        <w:spacing w:after="60"/>
      </w:pPr>
      <w:r>
        <w:rPr>
          <w:rFonts w:ascii="Calibri" w:hAnsi="Calibri"/>
          <w:b/>
          <w:color w:val="0B2545"/>
          <w:sz w:val="22"/>
        </w:rPr>
        <w:t xml:space="preserve">Required permission: </w:t>
      </w:r>
      <w:r>
        <w:rPr>
          <w:rFonts w:ascii="Calibri" w:hAnsi="Calibri"/>
          <w:color w:val="344054"/>
          <w:sz w:val="22"/>
        </w:rPr>
        <w:t>Roles.Manage</w:t>
      </w:r>
    </w:p>
    <w:p>
      <w:pPr>
        <w:keepLines w:val="0"/>
        <w:spacing w:after="120"/>
      </w:pPr>
      <w:r>
        <w:rPr>
          <w:rFonts w:ascii="Calibri" w:hAnsi="Calibri"/>
          <w:i w:val="0"/>
          <w:color w:val="344054"/>
          <w:sz w:val="22"/>
        </w:rPr>
        <w:t>Centralizes reusable access profiles such as Admin, AML User and Viewer.</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Create a role.</w:t>
      </w:r>
    </w:p>
    <w:p>
      <w:pPr>
        <w:pStyle w:val="ListBullet"/>
        <w:keepLines/>
        <w:spacing w:after="80" w:line="300" w:lineRule="auto"/>
      </w:pPr>
      <w:r>
        <w:rPr>
          <w:rFonts w:ascii="Calibri" w:hAnsi="Calibri"/>
          <w:color w:val="000000"/>
          <w:sz w:val="22"/>
        </w:rPr>
        <w:t>View all available permissions.</w:t>
      </w:r>
    </w:p>
    <w:p>
      <w:pPr>
        <w:pStyle w:val="ListBullet"/>
        <w:keepLines/>
        <w:spacing w:after="80" w:line="300" w:lineRule="auto"/>
      </w:pPr>
      <w:r>
        <w:rPr>
          <w:rFonts w:ascii="Calibri" w:hAnsi="Calibri"/>
          <w:color w:val="000000"/>
          <w:sz w:val="22"/>
        </w:rPr>
        <w:t>Assign or remove permissions from a role.</w:t>
      </w:r>
    </w:p>
    <w:p>
      <w:pPr>
        <w:pStyle w:val="ListBullet"/>
        <w:keepLines/>
        <w:spacing w:after="80" w:line="300" w:lineRule="auto"/>
      </w:pPr>
      <w:r>
        <w:rPr>
          <w:rFonts w:ascii="Calibri" w:hAnsi="Calibri"/>
          <w:color w:val="000000"/>
          <w:sz w:val="22"/>
        </w:rPr>
        <w:t>Use role permissions as the default access baseline for users.</w:t>
      </w:r>
    </w:p>
    <w:p>
      <w:pPr>
        <w:keepLines/>
        <w:spacing w:after="60"/>
      </w:pPr>
      <w:r>
        <w:rPr>
          <w:rFonts w:ascii="Calibri" w:hAnsi="Calibri"/>
          <w:b/>
          <w:color w:val="0B2545"/>
          <w:sz w:val="22"/>
        </w:rPr>
        <w:t xml:space="preserve">Primary tables: </w:t>
      </w:r>
      <w:r>
        <w:rPr>
          <w:rFonts w:ascii="Calibri" w:hAnsi="Calibri"/>
          <w:color w:val="344054"/>
          <w:sz w:val="22"/>
        </w:rPr>
        <w:t>Roles, Permissions, RolePermissions, AuditLogs</w:t>
      </w:r>
    </w:p>
    <w:p>
      <w:pPr>
        <w:keepLines/>
        <w:spacing w:before="100" w:after="180" w:line="276" w:lineRule="auto"/>
        <w:ind w:left="173" w:right="72"/>
        <w:shd w:fill="FFF7E6"/>
        <w:pBdr>
          <w:left w:val="single" w:sz="18" w:space="8" w:color="7A5A00"/>
        </w:pBdr>
      </w:pPr>
      <w:r>
        <w:rPr>
          <w:rFonts w:ascii="Calibri" w:hAnsi="Calibri"/>
          <w:b/>
          <w:color w:val="0B2545"/>
          <w:sz w:val="22"/>
        </w:rPr>
        <w:t xml:space="preserve">Important: </w:t>
      </w:r>
      <w:r>
        <w:rPr>
          <w:rFonts w:ascii="Calibri" w:hAnsi="Calibri"/>
          <w:color w:val="344054"/>
          <w:sz w:val="22"/>
        </w:rPr>
        <w:t>Role permissions should hold common access. UserPermissions should be reserved for exceptions, which keeps access administration understandable.</w:t>
      </w:r>
    </w:p>
    <w:p>
      <w:pPr>
        <w:pStyle w:val="Heading2"/>
      </w:pPr>
      <w:r>
        <w:t>Subscription</w:t>
      </w:r>
    </w:p>
    <w:p>
      <w:pPr>
        <w:keepLines/>
        <w:spacing w:after="60"/>
      </w:pPr>
      <w:r>
        <w:rPr>
          <w:rFonts w:ascii="Calibri" w:hAnsi="Calibri"/>
          <w:b/>
          <w:color w:val="0B2545"/>
          <w:sz w:val="22"/>
        </w:rPr>
        <w:t xml:space="preserve">Route: </w:t>
      </w:r>
      <w:r>
        <w:rPr>
          <w:rFonts w:ascii="Calibri" w:hAnsi="Calibri"/>
          <w:color w:val="344054"/>
          <w:sz w:val="22"/>
        </w:rPr>
        <w:t>/Subscription/Index</w:t>
      </w:r>
    </w:p>
    <w:p>
      <w:pPr>
        <w:keepLines/>
        <w:spacing w:after="60"/>
      </w:pPr>
      <w:r>
        <w:rPr>
          <w:rFonts w:ascii="Calibri" w:hAnsi="Calibri"/>
          <w:b/>
          <w:color w:val="0B2545"/>
          <w:sz w:val="22"/>
        </w:rPr>
        <w:t xml:space="preserve">Required permission: </w:t>
      </w:r>
      <w:r>
        <w:rPr>
          <w:rFonts w:ascii="Calibri" w:hAnsi="Calibri"/>
          <w:color w:val="344054"/>
          <w:sz w:val="22"/>
        </w:rPr>
        <w:t>Subscription.View</w:t>
      </w:r>
    </w:p>
    <w:p>
      <w:pPr>
        <w:keepLines w:val="0"/>
        <w:spacing w:after="120"/>
      </w:pPr>
      <w:r>
        <w:rPr>
          <w:rFonts w:ascii="Calibri" w:hAnsi="Calibri"/>
          <w:i w:val="0"/>
          <w:color w:val="344054"/>
          <w:sz w:val="22"/>
        </w:rPr>
        <w:t>Maintains source subscription plans, durations and rates. This is the portal-side plan catalog for later API entitlement work.</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List and paginate plans.</w:t>
      </w:r>
    </w:p>
    <w:p>
      <w:pPr>
        <w:pStyle w:val="ListBullet"/>
        <w:keepLines/>
        <w:spacing w:after="80" w:line="300" w:lineRule="auto"/>
      </w:pPr>
      <w:r>
        <w:rPr>
          <w:rFonts w:ascii="Calibri" w:hAnsi="Calibri"/>
          <w:color w:val="000000"/>
          <w:sz w:val="22"/>
        </w:rPr>
        <w:t>Create a plan with Subscription.Create.</w:t>
      </w:r>
    </w:p>
    <w:p>
      <w:pPr>
        <w:pStyle w:val="ListBullet"/>
        <w:keepLines/>
        <w:spacing w:after="80" w:line="300" w:lineRule="auto"/>
      </w:pPr>
      <w:r>
        <w:rPr>
          <w:rFonts w:ascii="Calibri" w:hAnsi="Calibri"/>
          <w:color w:val="000000"/>
          <w:sz w:val="22"/>
        </w:rPr>
        <w:t>Edit a plan with Subscription.Edit.</w:t>
      </w:r>
    </w:p>
    <w:p>
      <w:pPr>
        <w:pStyle w:val="ListBullet"/>
        <w:keepLines/>
        <w:spacing w:after="80" w:line="300" w:lineRule="auto"/>
      </w:pPr>
      <w:r>
        <w:rPr>
          <w:rFonts w:ascii="Calibri" w:hAnsi="Calibri"/>
          <w:color w:val="000000"/>
          <w:sz w:val="22"/>
        </w:rPr>
        <w:t>Soft delete a plan with Subscription.Delete.</w:t>
      </w:r>
    </w:p>
    <w:p>
      <w:pPr>
        <w:pStyle w:val="ListBullet"/>
        <w:keepLines/>
        <w:spacing w:after="80" w:line="300" w:lineRule="auto"/>
      </w:pPr>
      <w:r>
        <w:rPr>
          <w:rFonts w:ascii="Calibri" w:hAnsi="Calibri"/>
          <w:color w:val="000000"/>
          <w:sz w:val="22"/>
        </w:rPr>
        <w:t>Use RowVersion to prevent silent concurrent overwrites.</w:t>
      </w:r>
    </w:p>
    <w:p>
      <w:pPr>
        <w:keepLines/>
        <w:spacing w:after="60"/>
      </w:pPr>
      <w:r>
        <w:rPr>
          <w:rFonts w:ascii="Calibri" w:hAnsi="Calibri"/>
          <w:b/>
          <w:color w:val="0B2545"/>
          <w:sz w:val="22"/>
        </w:rPr>
        <w:t xml:space="preserve">Primary tables: </w:t>
      </w:r>
      <w:r>
        <w:rPr>
          <w:rFonts w:ascii="Calibri" w:hAnsi="Calibri"/>
          <w:color w:val="344054"/>
          <w:sz w:val="22"/>
        </w:rPr>
        <w:t>AML_Subscription_Plan, AuditLogs</w:t>
      </w:r>
    </w:p>
    <w:p>
      <w:pPr>
        <w:keepLines/>
        <w:spacing w:before="100" w:after="180" w:line="276" w:lineRule="auto"/>
        <w:ind w:left="173" w:right="72"/>
        <w:shd w:fill="FFF7E6"/>
        <w:pBdr>
          <w:left w:val="single" w:sz="18" w:space="8" w:color="7A5A00"/>
        </w:pBdr>
      </w:pPr>
      <w:r>
        <w:rPr>
          <w:rFonts w:ascii="Calibri" w:hAnsi="Calibri"/>
          <w:b/>
          <w:color w:val="0B2545"/>
          <w:sz w:val="22"/>
        </w:rPr>
        <w:t xml:space="preserve">Important: </w:t>
      </w:r>
      <w:r>
        <w:rPr>
          <w:rFonts w:ascii="Calibri" w:hAnsi="Calibri"/>
          <w:color w:val="344054"/>
          <w:sz w:val="22"/>
        </w:rPr>
        <w:t>Subscription data is not yet connected to API credentials, usage quotas or transaction enforcement. Those belong to the future API project.</w:t>
      </w:r>
    </w:p>
    <w:p>
      <w:pPr>
        <w:pStyle w:val="Heading2"/>
      </w:pPr>
      <w:r>
        <w:t>Compliance</w:t>
      </w:r>
    </w:p>
    <w:p>
      <w:pPr>
        <w:keepLines w:val="0"/>
        <w:spacing w:after="120"/>
      </w:pPr>
      <w:r>
        <w:rPr>
          <w:rFonts w:ascii="Calibri" w:hAnsi="Calibri"/>
          <w:i w:val="0"/>
          <w:color w:val="000000"/>
          <w:sz w:val="22"/>
        </w:rPr>
        <w:t>Compliance is a parent menu without its own controller. Its children form the operational transaction-monitoring workflow.</w:t>
      </w:r>
    </w:p>
    <w:p>
      <w:pPr>
        <w:pStyle w:val="Heading2"/>
      </w:pPr>
      <w:r>
        <w:t>Compliance &gt; Customers</w:t>
      </w:r>
    </w:p>
    <w:p>
      <w:pPr>
        <w:keepLines/>
        <w:spacing w:after="60"/>
      </w:pPr>
      <w:r>
        <w:rPr>
          <w:rFonts w:ascii="Calibri" w:hAnsi="Calibri"/>
          <w:b/>
          <w:color w:val="0B2545"/>
          <w:sz w:val="22"/>
        </w:rPr>
        <w:t xml:space="preserve">Route: </w:t>
      </w:r>
      <w:r>
        <w:rPr>
          <w:rFonts w:ascii="Calibri" w:hAnsi="Calibri"/>
          <w:color w:val="344054"/>
          <w:sz w:val="22"/>
        </w:rPr>
        <w:t>/Customers/Index</w:t>
      </w:r>
    </w:p>
    <w:p>
      <w:pPr>
        <w:keepLines/>
        <w:spacing w:after="60"/>
      </w:pPr>
      <w:r>
        <w:rPr>
          <w:rFonts w:ascii="Calibri" w:hAnsi="Calibri"/>
          <w:b/>
          <w:color w:val="0B2545"/>
          <w:sz w:val="22"/>
        </w:rPr>
        <w:t xml:space="preserve">Required permission: </w:t>
      </w:r>
      <w:r>
        <w:rPr>
          <w:rFonts w:ascii="Calibri" w:hAnsi="Calibri"/>
          <w:color w:val="344054"/>
          <w:sz w:val="22"/>
        </w:rPr>
        <w:t>Customers.View</w:t>
      </w:r>
    </w:p>
    <w:p>
      <w:pPr>
        <w:keepLines w:val="0"/>
        <w:spacing w:after="120"/>
      </w:pPr>
      <w:r>
        <w:rPr>
          <w:rFonts w:ascii="Calibri" w:hAnsi="Calibri"/>
          <w:i w:val="0"/>
          <w:color w:val="344054"/>
          <w:sz w:val="22"/>
        </w:rPr>
        <w:t>Maintains customer/KYC profiles and their initial risk indicators.</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View client customers.</w:t>
      </w:r>
    </w:p>
    <w:p>
      <w:pPr>
        <w:pStyle w:val="ListBullet"/>
        <w:keepLines/>
        <w:spacing w:after="80" w:line="300" w:lineRule="auto"/>
      </w:pPr>
      <w:r>
        <w:rPr>
          <w:rFonts w:ascii="Calibri" w:hAnsi="Calibri"/>
          <w:color w:val="000000"/>
          <w:sz w:val="22"/>
        </w:rPr>
        <w:t>Create customer identity and KYC details.</w:t>
      </w:r>
    </w:p>
    <w:p>
      <w:pPr>
        <w:pStyle w:val="ListBullet"/>
        <w:keepLines/>
        <w:spacing w:after="80" w:line="300" w:lineRule="auto"/>
      </w:pPr>
      <w:r>
        <w:rPr>
          <w:rFonts w:ascii="Calibri" w:hAnsi="Calibri"/>
          <w:color w:val="000000"/>
          <w:sz w:val="22"/>
        </w:rPr>
        <w:t>Calculate customer risk from PEP status and missing KYC factors.</w:t>
      </w:r>
    </w:p>
    <w:p>
      <w:pPr>
        <w:pStyle w:val="ListBullet"/>
        <w:keepLines/>
        <w:spacing w:after="80" w:line="300" w:lineRule="auto"/>
      </w:pPr>
      <w:r>
        <w:rPr>
          <w:rFonts w:ascii="Calibri" w:hAnsi="Calibri"/>
          <w:color w:val="000000"/>
          <w:sz w:val="22"/>
        </w:rPr>
        <w:t>Edit with optimistic concurrency.</w:t>
      </w:r>
    </w:p>
    <w:p>
      <w:pPr>
        <w:pStyle w:val="ListBullet"/>
        <w:keepLines/>
        <w:spacing w:after="80" w:line="300" w:lineRule="auto"/>
      </w:pPr>
      <w:r>
        <w:rPr>
          <w:rFonts w:ascii="Calibri" w:hAnsi="Calibri"/>
          <w:color w:val="000000"/>
          <w:sz w:val="22"/>
        </w:rPr>
        <w:t>Soft delete customers.</w:t>
      </w:r>
    </w:p>
    <w:p>
      <w:pPr>
        <w:keepLines/>
        <w:spacing w:after="60"/>
      </w:pPr>
      <w:r>
        <w:rPr>
          <w:rFonts w:ascii="Calibri" w:hAnsi="Calibri"/>
          <w:b/>
          <w:color w:val="0B2545"/>
          <w:sz w:val="22"/>
        </w:rPr>
        <w:t xml:space="preserve">Primary tables: </w:t>
      </w:r>
      <w:r>
        <w:rPr>
          <w:rFonts w:ascii="Calibri" w:hAnsi="Calibri"/>
          <w:color w:val="344054"/>
          <w:sz w:val="22"/>
        </w:rPr>
        <w:t>Customers, Clients, AuditLogs</w:t>
      </w:r>
    </w:p>
    <w:p>
      <w:pPr>
        <w:pStyle w:val="Heading2"/>
      </w:pPr>
      <w:r>
        <w:t>Compliance &gt; Transactions</w:t>
      </w:r>
    </w:p>
    <w:p>
      <w:pPr>
        <w:keepLines/>
        <w:spacing w:after="60"/>
      </w:pPr>
      <w:r>
        <w:rPr>
          <w:rFonts w:ascii="Calibri" w:hAnsi="Calibri"/>
          <w:b/>
          <w:color w:val="0B2545"/>
          <w:sz w:val="22"/>
        </w:rPr>
        <w:t xml:space="preserve">Route: </w:t>
      </w:r>
      <w:r>
        <w:rPr>
          <w:rFonts w:ascii="Calibri" w:hAnsi="Calibri"/>
          <w:color w:val="344054"/>
          <w:sz w:val="22"/>
        </w:rPr>
        <w:t>/Transactions/Index</w:t>
      </w:r>
    </w:p>
    <w:p>
      <w:pPr>
        <w:keepLines/>
        <w:spacing w:after="60"/>
      </w:pPr>
      <w:r>
        <w:rPr>
          <w:rFonts w:ascii="Calibri" w:hAnsi="Calibri"/>
          <w:b/>
          <w:color w:val="0B2545"/>
          <w:sz w:val="22"/>
        </w:rPr>
        <w:t xml:space="preserve">Required permission: </w:t>
      </w:r>
      <w:r>
        <w:rPr>
          <w:rFonts w:ascii="Calibri" w:hAnsi="Calibri"/>
          <w:color w:val="344054"/>
          <w:sz w:val="22"/>
        </w:rPr>
        <w:t>Transactions.View</w:t>
      </w:r>
    </w:p>
    <w:p>
      <w:pPr>
        <w:keepLines w:val="0"/>
        <w:spacing w:after="120"/>
      </w:pPr>
      <w:r>
        <w:rPr>
          <w:rFonts w:ascii="Calibri" w:hAnsi="Calibri"/>
          <w:i w:val="0"/>
          <w:color w:val="344054"/>
          <w:sz w:val="22"/>
        </w:rPr>
        <w:t>Captures customer transactions and provides the Evaluate action that runs screening, rules, scoring and decisioning.</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List recent client transactions.</w:t>
      </w:r>
    </w:p>
    <w:p>
      <w:pPr>
        <w:pStyle w:val="ListBullet"/>
        <w:keepLines/>
        <w:spacing w:after="80" w:line="300" w:lineRule="auto"/>
      </w:pPr>
      <w:r>
        <w:rPr>
          <w:rFonts w:ascii="Calibri" w:hAnsi="Calibri"/>
          <w:color w:val="000000"/>
          <w:sz w:val="22"/>
        </w:rPr>
        <w:t>Create a transaction linked to an existing customer.</w:t>
      </w:r>
    </w:p>
    <w:p>
      <w:pPr>
        <w:pStyle w:val="ListBullet"/>
        <w:keepLines/>
        <w:spacing w:after="80" w:line="300" w:lineRule="auto"/>
      </w:pPr>
      <w:r>
        <w:rPr>
          <w:rFonts w:ascii="Calibri" w:hAnsi="Calibri"/>
          <w:color w:val="000000"/>
          <w:sz w:val="22"/>
        </w:rPr>
        <w:t>View transaction, customer, match, risk and decision details.</w:t>
      </w:r>
    </w:p>
    <w:p>
      <w:pPr>
        <w:pStyle w:val="ListBullet"/>
        <w:keepLines/>
        <w:spacing w:after="80" w:line="300" w:lineRule="auto"/>
      </w:pPr>
      <w:r>
        <w:rPr>
          <w:rFonts w:ascii="Calibri" w:hAnsi="Calibri"/>
          <w:color w:val="000000"/>
          <w:sz w:val="22"/>
        </w:rPr>
        <w:t>Evaluate with Transactions.Evaluate.</w:t>
      </w:r>
    </w:p>
    <w:p>
      <w:pPr>
        <w:pStyle w:val="ListBullet"/>
        <w:keepLines/>
        <w:spacing w:after="80" w:line="300" w:lineRule="auto"/>
      </w:pPr>
      <w:r>
        <w:rPr>
          <w:rFonts w:ascii="Calibri" w:hAnsi="Calibri"/>
          <w:color w:val="000000"/>
          <w:sz w:val="22"/>
        </w:rPr>
        <w:t>Reuse an existing persisted result when a transaction has already been evaluated.</w:t>
      </w:r>
    </w:p>
    <w:p>
      <w:pPr>
        <w:keepLines/>
        <w:spacing w:after="60"/>
      </w:pPr>
      <w:r>
        <w:rPr>
          <w:rFonts w:ascii="Calibri" w:hAnsi="Calibri"/>
          <w:b/>
          <w:color w:val="0B2545"/>
          <w:sz w:val="22"/>
        </w:rPr>
        <w:t xml:space="preserve">Primary tables: </w:t>
      </w:r>
      <w:r>
        <w:rPr>
          <w:rFonts w:ascii="Calibri" w:hAnsi="Calibri"/>
          <w:color w:val="344054"/>
          <w:sz w:val="22"/>
        </w:rPr>
        <w:t>AmlTransactions, Customers, ScreeningMatches, RiskAssessments, AmlDecisions, ComplianceAlerts, ComplianceCases, AuditLogs</w:t>
      </w:r>
    </w:p>
    <w:p>
      <w:pPr>
        <w:keepLines/>
        <w:spacing w:before="100" w:after="180" w:line="276" w:lineRule="auto"/>
        <w:ind w:left="173" w:right="72"/>
        <w:shd w:fill="FFF7E6"/>
        <w:pBdr>
          <w:left w:val="single" w:sz="18" w:space="8" w:color="7A5A00"/>
        </w:pBdr>
      </w:pPr>
      <w:r>
        <w:rPr>
          <w:rFonts w:ascii="Calibri" w:hAnsi="Calibri"/>
          <w:b/>
          <w:color w:val="0B2545"/>
          <w:sz w:val="22"/>
        </w:rPr>
        <w:t xml:space="preserve">Important: </w:t>
      </w:r>
      <w:r>
        <w:rPr>
          <w:rFonts w:ascii="Calibri" w:hAnsi="Calibri"/>
          <w:color w:val="344054"/>
          <w:sz w:val="22"/>
        </w:rPr>
        <w:t>The current list is capped at 500 recent records and should receive server-side pagination before large production volumes.</w:t>
      </w:r>
    </w:p>
    <w:p>
      <w:pPr>
        <w:pStyle w:val="Heading2"/>
      </w:pPr>
      <w:r>
        <w:t>Compliance &gt; Threshold Rules</w:t>
      </w:r>
    </w:p>
    <w:p>
      <w:pPr>
        <w:keepLines/>
        <w:spacing w:after="60"/>
      </w:pPr>
      <w:r>
        <w:rPr>
          <w:rFonts w:ascii="Calibri" w:hAnsi="Calibri"/>
          <w:b/>
          <w:color w:val="0B2545"/>
          <w:sz w:val="22"/>
        </w:rPr>
        <w:t xml:space="preserve">Route: </w:t>
      </w:r>
      <w:r>
        <w:rPr>
          <w:rFonts w:ascii="Calibri" w:hAnsi="Calibri"/>
          <w:color w:val="344054"/>
          <w:sz w:val="22"/>
        </w:rPr>
        <w:t>/ComplianceRules/Index</w:t>
      </w:r>
    </w:p>
    <w:p>
      <w:pPr>
        <w:keepLines/>
        <w:spacing w:after="60"/>
      </w:pPr>
      <w:r>
        <w:rPr>
          <w:rFonts w:ascii="Calibri" w:hAnsi="Calibri"/>
          <w:b/>
          <w:color w:val="0B2545"/>
          <w:sz w:val="22"/>
        </w:rPr>
        <w:t xml:space="preserve">Required permission: </w:t>
      </w:r>
      <w:r>
        <w:rPr>
          <w:rFonts w:ascii="Calibri" w:hAnsi="Calibri"/>
          <w:color w:val="344054"/>
          <w:sz w:val="22"/>
        </w:rPr>
        <w:t>ComplianceRules.View</w:t>
      </w:r>
    </w:p>
    <w:p>
      <w:pPr>
        <w:keepLines w:val="0"/>
        <w:spacing w:after="120"/>
      </w:pPr>
      <w:r>
        <w:rPr>
          <w:rFonts w:ascii="Calibri" w:hAnsi="Calibri"/>
          <w:i w:val="0"/>
          <w:color w:val="344054"/>
          <w:sz w:val="22"/>
        </w:rPr>
        <w:t>Configures the transaction rules used by the AML workflow engine.</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Create amount-threshold or velocity rules.</w:t>
      </w:r>
    </w:p>
    <w:p>
      <w:pPr>
        <w:pStyle w:val="ListBullet"/>
        <w:keepLines/>
        <w:spacing w:after="80" w:line="300" w:lineRule="auto"/>
      </w:pPr>
      <w:r>
        <w:rPr>
          <w:rFonts w:ascii="Calibri" w:hAnsi="Calibri"/>
          <w:color w:val="000000"/>
          <w:sz w:val="22"/>
        </w:rPr>
        <w:t>Set currency, threshold, lookback, transaction count and risk score.</w:t>
      </w:r>
    </w:p>
    <w:p>
      <w:pPr>
        <w:pStyle w:val="ListBullet"/>
        <w:keepLines/>
        <w:spacing w:after="80" w:line="300" w:lineRule="auto"/>
      </w:pPr>
      <w:r>
        <w:rPr>
          <w:rFonts w:ascii="Calibri" w:hAnsi="Calibri"/>
          <w:color w:val="000000"/>
          <w:sz w:val="22"/>
        </w:rPr>
        <w:t>Set the resulting action: Allow, Review/Hold/Alert or Block.</w:t>
      </w:r>
    </w:p>
    <w:p>
      <w:pPr>
        <w:pStyle w:val="ListBullet"/>
        <w:keepLines/>
        <w:spacing w:after="80" w:line="300" w:lineRule="auto"/>
      </w:pPr>
      <w:r>
        <w:rPr>
          <w:rFonts w:ascii="Calibri" w:hAnsi="Calibri"/>
          <w:color w:val="000000"/>
          <w:sz w:val="22"/>
        </w:rPr>
        <w:t>Control priority, rule version, approval status and effective dates.</w:t>
      </w:r>
    </w:p>
    <w:p>
      <w:pPr>
        <w:pStyle w:val="ListBullet"/>
        <w:keepLines/>
        <w:spacing w:after="80" w:line="300" w:lineRule="auto"/>
      </w:pPr>
      <w:r>
        <w:rPr>
          <w:rFonts w:ascii="Calibri" w:hAnsi="Calibri"/>
          <w:color w:val="000000"/>
          <w:sz w:val="22"/>
        </w:rPr>
        <w:t>Soft delete obsolete rules.</w:t>
      </w:r>
    </w:p>
    <w:p>
      <w:pPr>
        <w:keepLines/>
        <w:spacing w:after="60"/>
      </w:pPr>
      <w:r>
        <w:rPr>
          <w:rFonts w:ascii="Calibri" w:hAnsi="Calibri"/>
          <w:b/>
          <w:color w:val="0B2545"/>
          <w:sz w:val="22"/>
        </w:rPr>
        <w:t xml:space="preserve">Primary tables: </w:t>
      </w:r>
      <w:r>
        <w:rPr>
          <w:rFonts w:ascii="Calibri" w:hAnsi="Calibri"/>
          <w:color w:val="344054"/>
          <w:sz w:val="22"/>
        </w:rPr>
        <w:t>ComplianceRules, Clients, AuditLogs</w:t>
      </w:r>
    </w:p>
    <w:p>
      <w:pPr>
        <w:keepLines/>
        <w:spacing w:before="100" w:after="180" w:line="276" w:lineRule="auto"/>
        <w:ind w:left="173" w:right="72"/>
        <w:shd w:fill="FFF7E6"/>
        <w:pBdr>
          <w:left w:val="single" w:sz="18" w:space="8" w:color="7A5A00"/>
        </w:pBdr>
      </w:pPr>
      <w:r>
        <w:rPr>
          <w:rFonts w:ascii="Calibri" w:hAnsi="Calibri"/>
          <w:b/>
          <w:color w:val="0B2545"/>
          <w:sz w:val="22"/>
        </w:rPr>
        <w:t xml:space="preserve">Important: </w:t>
      </w:r>
      <w:r>
        <w:rPr>
          <w:rFonts w:ascii="Calibri" w:hAnsi="Calibri"/>
          <w:color w:val="344054"/>
          <w:sz w:val="22"/>
        </w:rPr>
        <w:t>ApprovalStatus is currently editable directly; true maker-checker approval is recommended before production.</w:t>
      </w:r>
    </w:p>
    <w:p>
      <w:pPr>
        <w:pStyle w:val="Heading2"/>
      </w:pPr>
      <w:r>
        <w:t>Compliance &gt; Alerts</w:t>
      </w:r>
    </w:p>
    <w:p>
      <w:pPr>
        <w:keepLines/>
        <w:spacing w:after="60"/>
      </w:pPr>
      <w:r>
        <w:rPr>
          <w:rFonts w:ascii="Calibri" w:hAnsi="Calibri"/>
          <w:b/>
          <w:color w:val="0B2545"/>
          <w:sz w:val="22"/>
        </w:rPr>
        <w:t xml:space="preserve">Route: </w:t>
      </w:r>
      <w:r>
        <w:rPr>
          <w:rFonts w:ascii="Calibri" w:hAnsi="Calibri"/>
          <w:color w:val="344054"/>
          <w:sz w:val="22"/>
        </w:rPr>
        <w:t>/Alerts/Index</w:t>
      </w:r>
    </w:p>
    <w:p>
      <w:pPr>
        <w:keepLines/>
        <w:spacing w:after="60"/>
      </w:pPr>
      <w:r>
        <w:rPr>
          <w:rFonts w:ascii="Calibri" w:hAnsi="Calibri"/>
          <w:b/>
          <w:color w:val="0B2545"/>
          <w:sz w:val="22"/>
        </w:rPr>
        <w:t xml:space="preserve">Required permission: </w:t>
      </w:r>
      <w:r>
        <w:rPr>
          <w:rFonts w:ascii="Calibri" w:hAnsi="Calibri"/>
          <w:color w:val="344054"/>
          <w:sz w:val="22"/>
        </w:rPr>
        <w:t>Alerts.View</w:t>
      </w:r>
    </w:p>
    <w:p>
      <w:pPr>
        <w:keepLines w:val="0"/>
        <w:spacing w:after="120"/>
      </w:pPr>
      <w:r>
        <w:rPr>
          <w:rFonts w:ascii="Calibri" w:hAnsi="Calibri"/>
          <w:i w:val="0"/>
          <w:color w:val="344054"/>
          <w:sz w:val="22"/>
        </w:rPr>
        <w:t>Shows generated compliance alerts that require analyst attention.</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View severity, reason, transaction and status.</w:t>
      </w:r>
    </w:p>
    <w:p>
      <w:pPr>
        <w:pStyle w:val="ListBullet"/>
        <w:keepLines/>
        <w:spacing w:after="80" w:line="300" w:lineRule="auto"/>
      </w:pPr>
      <w:r>
        <w:rPr>
          <w:rFonts w:ascii="Calibri" w:hAnsi="Calibri"/>
          <w:color w:val="000000"/>
          <w:sz w:val="22"/>
        </w:rPr>
        <w:t>Assign an alert to a user.</w:t>
      </w:r>
    </w:p>
    <w:p>
      <w:pPr>
        <w:pStyle w:val="ListBullet"/>
        <w:keepLines/>
        <w:spacing w:after="80" w:line="300" w:lineRule="auto"/>
      </w:pPr>
      <w:r>
        <w:rPr>
          <w:rFonts w:ascii="Calibri" w:hAnsi="Calibri"/>
          <w:color w:val="000000"/>
          <w:sz w:val="22"/>
        </w:rPr>
        <w:t>Move the alert through investigation statuses.</w:t>
      </w:r>
    </w:p>
    <w:p>
      <w:pPr>
        <w:pStyle w:val="ListBullet"/>
        <w:keepLines/>
        <w:spacing w:after="80" w:line="300" w:lineRule="auto"/>
      </w:pPr>
      <w:r>
        <w:rPr>
          <w:rFonts w:ascii="Calibri" w:hAnsi="Calibri"/>
          <w:color w:val="000000"/>
          <w:sz w:val="22"/>
        </w:rPr>
        <w:t>Require a resolution when resolving or closing an alert with Alerts.Manage.</w:t>
      </w:r>
    </w:p>
    <w:p>
      <w:pPr>
        <w:keepLines/>
        <w:spacing w:after="60"/>
      </w:pPr>
      <w:r>
        <w:rPr>
          <w:rFonts w:ascii="Calibri" w:hAnsi="Calibri"/>
          <w:b/>
          <w:color w:val="0B2545"/>
          <w:sz w:val="22"/>
        </w:rPr>
        <w:t xml:space="preserve">Primary tables: </w:t>
      </w:r>
      <w:r>
        <w:rPr>
          <w:rFonts w:ascii="Calibri" w:hAnsi="Calibri"/>
          <w:color w:val="344054"/>
          <w:sz w:val="22"/>
        </w:rPr>
        <w:t>ComplianceAlerts, AmlTransactions, RiskAssessments, Users, AuditLogs</w:t>
      </w:r>
    </w:p>
    <w:p>
      <w:pPr>
        <w:pStyle w:val="Heading2"/>
      </w:pPr>
      <w:r>
        <w:t>Compliance &gt; Cases</w:t>
      </w:r>
    </w:p>
    <w:p>
      <w:pPr>
        <w:keepLines/>
        <w:spacing w:after="60"/>
      </w:pPr>
      <w:r>
        <w:rPr>
          <w:rFonts w:ascii="Calibri" w:hAnsi="Calibri"/>
          <w:b/>
          <w:color w:val="0B2545"/>
          <w:sz w:val="22"/>
        </w:rPr>
        <w:t xml:space="preserve">Route: </w:t>
      </w:r>
      <w:r>
        <w:rPr>
          <w:rFonts w:ascii="Calibri" w:hAnsi="Calibri"/>
          <w:color w:val="344054"/>
          <w:sz w:val="22"/>
        </w:rPr>
        <w:t>/Cases/Index</w:t>
      </w:r>
    </w:p>
    <w:p>
      <w:pPr>
        <w:keepLines/>
        <w:spacing w:after="60"/>
      </w:pPr>
      <w:r>
        <w:rPr>
          <w:rFonts w:ascii="Calibri" w:hAnsi="Calibri"/>
          <w:b/>
          <w:color w:val="0B2545"/>
          <w:sz w:val="22"/>
        </w:rPr>
        <w:t xml:space="preserve">Required permission: </w:t>
      </w:r>
      <w:r>
        <w:rPr>
          <w:rFonts w:ascii="Calibri" w:hAnsi="Calibri"/>
          <w:color w:val="344054"/>
          <w:sz w:val="22"/>
        </w:rPr>
        <w:t>Cases.View</w:t>
      </w:r>
    </w:p>
    <w:p>
      <w:pPr>
        <w:keepLines w:val="0"/>
        <w:spacing w:after="120"/>
      </w:pPr>
      <w:r>
        <w:rPr>
          <w:rFonts w:ascii="Calibri" w:hAnsi="Calibri"/>
          <w:i w:val="0"/>
          <w:color w:val="344054"/>
          <w:sz w:val="22"/>
        </w:rPr>
        <w:t>Provides the formal investigation record created from an alert.</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View cases and detailed evidence.</w:t>
      </w:r>
    </w:p>
    <w:p>
      <w:pPr>
        <w:pStyle w:val="ListBullet"/>
        <w:keepLines/>
        <w:spacing w:after="80" w:line="300" w:lineRule="auto"/>
      </w:pPr>
      <w:r>
        <w:rPr>
          <w:rFonts w:ascii="Calibri" w:hAnsi="Calibri"/>
          <w:color w:val="000000"/>
          <w:sz w:val="22"/>
        </w:rPr>
        <w:t>Assign an investigator.</w:t>
      </w:r>
    </w:p>
    <w:p>
      <w:pPr>
        <w:pStyle w:val="ListBullet"/>
        <w:keepLines/>
        <w:spacing w:after="80" w:line="300" w:lineRule="auto"/>
      </w:pPr>
      <w:r>
        <w:rPr>
          <w:rFonts w:ascii="Calibri" w:hAnsi="Calibri"/>
          <w:color w:val="000000"/>
          <w:sz w:val="22"/>
        </w:rPr>
        <w:t>Record status, disposition and notes.</w:t>
      </w:r>
    </w:p>
    <w:p>
      <w:pPr>
        <w:pStyle w:val="ListBullet"/>
        <w:keepLines/>
        <w:spacing w:after="80" w:line="300" w:lineRule="auto"/>
      </w:pPr>
      <w:r>
        <w:rPr>
          <w:rFonts w:ascii="Calibri" w:hAnsi="Calibri"/>
          <w:color w:val="000000"/>
          <w:sz w:val="22"/>
        </w:rPr>
        <w:t>Require a disposition for cleared, rejected, STR/SAR or closed outcomes with Cases.Manage.</w:t>
      </w:r>
    </w:p>
    <w:p>
      <w:pPr>
        <w:keepLines/>
        <w:spacing w:after="60"/>
      </w:pPr>
      <w:r>
        <w:rPr>
          <w:rFonts w:ascii="Calibri" w:hAnsi="Calibri"/>
          <w:b/>
          <w:color w:val="0B2545"/>
          <w:sz w:val="22"/>
        </w:rPr>
        <w:t xml:space="preserve">Primary tables: </w:t>
      </w:r>
      <w:r>
        <w:rPr>
          <w:rFonts w:ascii="Calibri" w:hAnsi="Calibri"/>
          <w:color w:val="344054"/>
          <w:sz w:val="22"/>
        </w:rPr>
        <w:t>ComplianceCases, ComplianceAlerts, AmlTransactions, Users, AuditLogs</w:t>
      </w:r>
    </w:p>
    <w:p>
      <w:pPr>
        <w:pStyle w:val="Heading2"/>
      </w:pPr>
      <w:r>
        <w:t>Audit Logs</w:t>
      </w:r>
    </w:p>
    <w:p>
      <w:pPr>
        <w:keepLines/>
        <w:spacing w:after="60"/>
      </w:pPr>
      <w:r>
        <w:rPr>
          <w:rFonts w:ascii="Calibri" w:hAnsi="Calibri"/>
          <w:b/>
          <w:color w:val="0B2545"/>
          <w:sz w:val="22"/>
        </w:rPr>
        <w:t xml:space="preserve">Route: </w:t>
      </w:r>
      <w:r>
        <w:rPr>
          <w:rFonts w:ascii="Calibri" w:hAnsi="Calibri"/>
          <w:color w:val="344054"/>
          <w:sz w:val="22"/>
        </w:rPr>
        <w:t>/AuditLogs/Index</w:t>
      </w:r>
    </w:p>
    <w:p>
      <w:pPr>
        <w:keepLines/>
        <w:spacing w:after="60"/>
      </w:pPr>
      <w:r>
        <w:rPr>
          <w:rFonts w:ascii="Calibri" w:hAnsi="Calibri"/>
          <w:b/>
          <w:color w:val="0B2545"/>
          <w:sz w:val="22"/>
        </w:rPr>
        <w:t xml:space="preserve">Required permission: </w:t>
      </w:r>
      <w:r>
        <w:rPr>
          <w:rFonts w:ascii="Calibri" w:hAnsi="Calibri"/>
          <w:color w:val="344054"/>
          <w:sz w:val="22"/>
        </w:rPr>
        <w:t>AuditLogs.View</w:t>
      </w:r>
    </w:p>
    <w:p>
      <w:pPr>
        <w:keepLines w:val="0"/>
        <w:spacing w:after="120"/>
      </w:pPr>
      <w:r>
        <w:rPr>
          <w:rFonts w:ascii="Calibri" w:hAnsi="Calibri"/>
          <w:i w:val="0"/>
          <w:color w:val="344054"/>
          <w:sz w:val="22"/>
        </w:rPr>
        <w:t>Provides traceability for important portal and workflow actions.</w:t>
      </w:r>
    </w:p>
    <w:p>
      <w:pPr>
        <w:keepLines/>
        <w:spacing w:after="60"/>
      </w:pPr>
      <w:r>
        <w:rPr>
          <w:rFonts w:ascii="Calibri" w:hAnsi="Calibri"/>
          <w:b/>
          <w:color w:val="0B2545"/>
          <w:sz w:val="22"/>
        </w:rPr>
        <w:t xml:space="preserve">Main operations: </w:t>
      </w:r>
      <w:r>
        <w:rPr>
          <w:rFonts w:ascii="Calibri" w:hAnsi="Calibri"/>
          <w:color w:val="344054"/>
          <w:sz w:val="22"/>
        </w:rPr>
      </w:r>
    </w:p>
    <w:p>
      <w:pPr>
        <w:pStyle w:val="ListBullet"/>
        <w:keepLines/>
        <w:spacing w:after="80" w:line="300" w:lineRule="auto"/>
      </w:pPr>
      <w:r>
        <w:rPr>
          <w:rFonts w:ascii="Calibri" w:hAnsi="Calibri"/>
          <w:color w:val="000000"/>
          <w:sz w:val="22"/>
        </w:rPr>
        <w:t>View recent login, logout, create, update, delete, evaluate, alert and case actions.</w:t>
      </w:r>
    </w:p>
    <w:p>
      <w:pPr>
        <w:pStyle w:val="ListBullet"/>
        <w:keepLines/>
        <w:spacing w:after="80" w:line="300" w:lineRule="auto"/>
      </w:pPr>
      <w:r>
        <w:rPr>
          <w:rFonts w:ascii="Calibri" w:hAnsi="Calibri"/>
          <w:color w:val="000000"/>
          <w:sz w:val="22"/>
        </w:rPr>
        <w:t>Restrict ordinary viewers to their client.</w:t>
      </w:r>
    </w:p>
    <w:p>
      <w:pPr>
        <w:pStyle w:val="ListBullet"/>
        <w:keepLines/>
        <w:spacing w:after="80" w:line="300" w:lineRule="auto"/>
      </w:pPr>
      <w:r>
        <w:rPr>
          <w:rFonts w:ascii="Calibri" w:hAnsi="Calibri"/>
          <w:color w:val="000000"/>
          <w:sz w:val="22"/>
        </w:rPr>
        <w:t>Allow controlled platform-wide review for appropriately privileged administrators.</w:t>
      </w:r>
    </w:p>
    <w:p>
      <w:pPr>
        <w:keepLines/>
        <w:spacing w:after="60"/>
      </w:pPr>
      <w:r>
        <w:rPr>
          <w:rFonts w:ascii="Calibri" w:hAnsi="Calibri"/>
          <w:b/>
          <w:color w:val="0B2545"/>
          <w:sz w:val="22"/>
        </w:rPr>
        <w:t xml:space="preserve">Primary tables: </w:t>
      </w:r>
      <w:r>
        <w:rPr>
          <w:rFonts w:ascii="Calibri" w:hAnsi="Calibri"/>
          <w:color w:val="344054"/>
          <w:sz w:val="22"/>
        </w:rPr>
        <w:t>AuditLogs, Clients, Users</w:t>
      </w:r>
    </w:p>
    <w:p>
      <w:pPr>
        <w:pStyle w:val="Heading2"/>
      </w:pPr>
      <w:r>
        <w:t>Removed or inactive menu concepts</w:t>
      </w:r>
    </w:p>
    <w:p>
      <w:pPr>
        <w:keepLines w:val="0"/>
        <w:spacing w:after="120"/>
      </w:pPr>
      <w:r>
        <w:rPr>
          <w:rFonts w:ascii="Calibri" w:hAnsi="Calibri"/>
          <w:i w:val="0"/>
          <w:color w:val="000000"/>
          <w:sz w:val="22"/>
        </w:rPr>
        <w:t>Search Screening, Reports and Settings are not present in the active MenuItems catalog. Their permission names remain in dbo.Permissions for backward compatibility but should be retired or reintroduced only when working controllers and views exist.</w:t>
      </w:r>
    </w:p>
    <w:p>
      <w:pPr>
        <w:pStyle w:val="Heading1"/>
      </w:pPr>
      <w:r>
        <w:t>5. End-to-end AML and compliance workflow</w:t>
      </w:r>
    </w:p>
    <w:p>
      <w:pPr>
        <w:keepNext/>
        <w:keepLines/>
        <w:spacing w:before="100" w:after="0" w:line="240" w:lineRule="auto"/>
        <w:ind w:left="259" w:right="115"/>
        <w:shd w:fill="F2F4F7"/>
        <w:pBdr>
          <w:left w:val="single" w:sz="12" w:space="6" w:color="2E74B5"/>
        </w:pBdr>
      </w:pPr>
      <w:r>
        <w:rPr>
          <w:rFonts w:ascii="Consolas" w:hAnsi="Consolas"/>
          <w:color w:val="0B2545"/>
          <w:sz w:val="16"/>
        </w:rPr>
        <w:t>AML list data -&gt; Customer/KYC -&gt; Transaction -&gt; Screening matches</w:t>
      </w:r>
    </w:p>
    <w:p>
      <w:pPr>
        <w:keepNext/>
        <w:keepLines/>
        <w:spacing w:before="0" w:after="0" w:line="240" w:lineRule="auto"/>
        <w:ind w:left="259" w:right="115"/>
        <w:shd w:fill="F2F4F7"/>
      </w:pPr>
      <w:r>
        <w:rPr>
          <w:rFonts w:ascii="Consolas" w:hAnsi="Consolas"/>
          <w:color w:val="0B2545"/>
          <w:sz w:val="16"/>
        </w:rPr>
        <w:t xml:space="preserve">              -&gt; Compliance rules -&gt; Risk assessment -&gt; Decision</w:t>
      </w:r>
    </w:p>
    <w:p>
      <w:pPr>
        <w:keepNext w:val="0"/>
        <w:keepLines/>
        <w:spacing w:before="0" w:after="160" w:line="240" w:lineRule="auto"/>
        <w:ind w:left="259" w:right="115"/>
        <w:shd w:fill="F2F4F7"/>
      </w:pPr>
      <w:r>
        <w:rPr>
          <w:rFonts w:ascii="Consolas" w:hAnsi="Consolas"/>
          <w:color w:val="0B2545"/>
          <w:sz w:val="16"/>
        </w:rPr>
        <w:t xml:space="preserve">              -&gt; ALLOW, or REVIEW/BLOCK -&gt; Alert -&gt; Case -&gt; Resolution</w:t>
      </w:r>
    </w:p>
    <w:p>
      <w:pPr>
        <w:spacing w:after="100"/>
        <w:numPr>
          <w:ilvl w:val="0"/>
          <w:numId w:val="13"/>
        </w:numPr>
      </w:pPr>
      <w:r>
        <w:rPr>
          <w:rFonts w:ascii="Calibri" w:hAnsi="Calibri"/>
          <w:b/>
          <w:color w:val="0B2545"/>
          <w:sz w:val="22"/>
        </w:rPr>
        <w:t xml:space="preserve">Prepare screening data. </w:t>
      </w:r>
      <w:r>
        <w:rPr>
          <w:rFonts w:ascii="Calibri" w:hAnsi="Calibri"/>
          <w:color w:val="344054"/>
          <w:sz w:val="22"/>
        </w:rPr>
        <w:t>An authorized user adds active PEP, UN, EU, CIB or other watchlist entries to AmlRecords.</w:t>
      </w:r>
    </w:p>
    <w:p>
      <w:pPr>
        <w:spacing w:after="100"/>
        <w:numPr>
          <w:ilvl w:val="0"/>
          <w:numId w:val="13"/>
        </w:numPr>
      </w:pPr>
      <w:r>
        <w:rPr>
          <w:rFonts w:ascii="Calibri" w:hAnsi="Calibri"/>
          <w:b/>
          <w:color w:val="0B2545"/>
          <w:sz w:val="22"/>
        </w:rPr>
        <w:t xml:space="preserve">Create customer. </w:t>
      </w:r>
      <w:r>
        <w:rPr>
          <w:rFonts w:ascii="Calibri" w:hAnsi="Calibri"/>
          <w:color w:val="344054"/>
          <w:sz w:val="22"/>
        </w:rPr>
        <w:t>A customer reference and KYC details are saved. Customer risk is calculated immediately.</w:t>
      </w:r>
    </w:p>
    <w:p>
      <w:pPr>
        <w:spacing w:after="100"/>
        <w:numPr>
          <w:ilvl w:val="0"/>
          <w:numId w:val="13"/>
        </w:numPr>
      </w:pPr>
      <w:r>
        <w:rPr>
          <w:rFonts w:ascii="Calibri" w:hAnsi="Calibri"/>
          <w:b/>
          <w:color w:val="0B2545"/>
          <w:sz w:val="22"/>
        </w:rPr>
        <w:t xml:space="preserve">Create transaction. </w:t>
      </w:r>
      <w:r>
        <w:rPr>
          <w:rFonts w:ascii="Calibri" w:hAnsi="Calibri"/>
          <w:color w:val="344054"/>
          <w:sz w:val="22"/>
        </w:rPr>
        <w:t>A transaction is linked to the customer, assigned a correlation ID and stored with status NEW.</w:t>
      </w:r>
    </w:p>
    <w:p>
      <w:pPr>
        <w:spacing w:after="100"/>
        <w:numPr>
          <w:ilvl w:val="0"/>
          <w:numId w:val="13"/>
        </w:numPr>
      </w:pPr>
      <w:r>
        <w:rPr>
          <w:rFonts w:ascii="Calibri" w:hAnsi="Calibri"/>
          <w:b/>
          <w:color w:val="0B2545"/>
          <w:sz w:val="22"/>
        </w:rPr>
        <w:t xml:space="preserve">Screen parties. </w:t>
      </w:r>
      <w:r>
        <w:rPr>
          <w:rFonts w:ascii="Calibri" w:hAnsi="Calibri"/>
          <w:color w:val="344054"/>
          <w:sz w:val="22"/>
        </w:rPr>
        <w:t>Sender and receiver names are normalized and compared with active AmlRecords for the current client.</w:t>
      </w:r>
    </w:p>
    <w:p>
      <w:pPr>
        <w:spacing w:after="100"/>
        <w:numPr>
          <w:ilvl w:val="0"/>
          <w:numId w:val="13"/>
        </w:numPr>
      </w:pPr>
      <w:r>
        <w:rPr>
          <w:rFonts w:ascii="Calibri" w:hAnsi="Calibri"/>
          <w:b/>
          <w:color w:val="0B2545"/>
          <w:sz w:val="22"/>
        </w:rPr>
        <w:t xml:space="preserve">Apply rules. </w:t>
      </w:r>
      <w:r>
        <w:rPr>
          <w:rFonts w:ascii="Calibri" w:hAnsi="Calibri"/>
          <w:color w:val="344054"/>
          <w:sz w:val="22"/>
        </w:rPr>
        <w:t>Active and effective AmountThreshold and Velocity rules are evaluated in priority order.</w:t>
      </w:r>
    </w:p>
    <w:p>
      <w:pPr>
        <w:spacing w:after="100"/>
        <w:numPr>
          <w:ilvl w:val="0"/>
          <w:numId w:val="13"/>
        </w:numPr>
      </w:pPr>
      <w:r>
        <w:rPr>
          <w:rFonts w:ascii="Calibri" w:hAnsi="Calibri"/>
          <w:b/>
          <w:color w:val="0B2545"/>
          <w:sz w:val="22"/>
        </w:rPr>
        <w:t xml:space="preserve">Calculate risk. </w:t>
      </w:r>
      <w:r>
        <w:rPr>
          <w:rFonts w:ascii="Calibri" w:hAnsi="Calibri"/>
          <w:color w:val="344054"/>
          <w:sz w:val="22"/>
        </w:rPr>
        <w:t>Customer, transaction and screening scores are combined and persisted in RiskAssessments.</w:t>
      </w:r>
    </w:p>
    <w:p>
      <w:pPr>
        <w:spacing w:after="100"/>
        <w:numPr>
          <w:ilvl w:val="0"/>
          <w:numId w:val="13"/>
        </w:numPr>
      </w:pPr>
      <w:r>
        <w:rPr>
          <w:rFonts w:ascii="Calibri" w:hAnsi="Calibri"/>
          <w:b/>
          <w:color w:val="0B2545"/>
          <w:sz w:val="22"/>
        </w:rPr>
        <w:t xml:space="preserve">Decide. </w:t>
      </w:r>
      <w:r>
        <w:rPr>
          <w:rFonts w:ascii="Calibri" w:hAnsi="Calibri"/>
          <w:color w:val="344054"/>
          <w:sz w:val="22"/>
        </w:rPr>
        <w:t>AmlDecisions records ALLOW, REVIEW or BLOCK together with reasons, model version, rule versions and list versions.</w:t>
      </w:r>
    </w:p>
    <w:p>
      <w:pPr>
        <w:spacing w:after="100"/>
        <w:numPr>
          <w:ilvl w:val="0"/>
          <w:numId w:val="13"/>
        </w:numPr>
      </w:pPr>
      <w:r>
        <w:rPr>
          <w:rFonts w:ascii="Calibri" w:hAnsi="Calibri"/>
          <w:b/>
          <w:color w:val="0B2545"/>
          <w:sz w:val="22"/>
        </w:rPr>
        <w:t xml:space="preserve">Escalate. </w:t>
      </w:r>
      <w:r>
        <w:rPr>
          <w:rFonts w:ascii="Calibri" w:hAnsi="Calibri"/>
          <w:color w:val="344054"/>
          <w:sz w:val="22"/>
        </w:rPr>
        <w:t>REVIEW and BLOCK create a ComplianceAlert and ComplianceCase for analyst work.</w:t>
      </w:r>
    </w:p>
    <w:p>
      <w:pPr>
        <w:spacing w:after="100"/>
        <w:numPr>
          <w:ilvl w:val="0"/>
          <w:numId w:val="13"/>
        </w:numPr>
      </w:pPr>
      <w:r>
        <w:rPr>
          <w:rFonts w:ascii="Calibri" w:hAnsi="Calibri"/>
          <w:b/>
          <w:color w:val="0B2545"/>
          <w:sz w:val="22"/>
        </w:rPr>
        <w:t xml:space="preserve">Investigate and close. </w:t>
      </w:r>
      <w:r>
        <w:rPr>
          <w:rFonts w:ascii="Calibri" w:hAnsi="Calibri"/>
          <w:color w:val="344054"/>
          <w:sz w:val="22"/>
        </w:rPr>
        <w:t>Compliance staff assign, investigate, document and resolve the alert/case.</w:t>
      </w:r>
    </w:p>
    <w:p>
      <w:pPr>
        <w:spacing w:after="100"/>
        <w:numPr>
          <w:ilvl w:val="0"/>
          <w:numId w:val="13"/>
        </w:numPr>
      </w:pPr>
      <w:r>
        <w:rPr>
          <w:rFonts w:ascii="Calibri" w:hAnsi="Calibri"/>
          <w:b/>
          <w:color w:val="0B2545"/>
          <w:sz w:val="22"/>
        </w:rPr>
        <w:t xml:space="preserve">Audit. </w:t>
      </w:r>
      <w:r>
        <w:rPr>
          <w:rFonts w:ascii="Calibri" w:hAnsi="Calibri"/>
          <w:color w:val="344054"/>
          <w:sz w:val="22"/>
        </w:rPr>
        <w:t>Application actions are written to AuditLogs throughout the journey.</w:t>
      </w:r>
    </w:p>
    <w:p>
      <w:pPr>
        <w:pStyle w:val="Heading2"/>
      </w:pPr>
      <w:r>
        <w:t>Example transaction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ign w:val="center"/>
            <w:tcMar>
              <w:top w:w="80" w:type="dxa"/>
              <w:start w:w="120" w:type="dxa"/>
              <w:bottom w:w="80" w:type="dxa"/>
              <w:end w:w="120" w:type="dxa"/>
            </w:tcMar>
          </w:tcPr>
          <w:p>
            <w:pPr>
              <w:spacing w:after="0"/>
              <w:jc w:val="left"/>
            </w:pPr>
            <w:r>
              <w:rPr>
                <w:rFonts w:ascii="Calibri" w:hAnsi="Calibri"/>
                <w:b/>
                <w:color w:val="0B2545"/>
                <w:sz w:val="18"/>
              </w:rPr>
              <w:t>Stage</w:t>
            </w:r>
          </w:p>
        </w:tc>
        <w:tc>
          <w:tcPr>
            <w:tcW w:type="dxa" w:w="7160"/>
            <w:shd w:fill="E8EEF5"/>
            <w:vAlign w:val="center"/>
            <w:tcMar>
              <w:top w:w="80" w:type="dxa"/>
              <w:start w:w="120" w:type="dxa"/>
              <w:bottom w:w="80" w:type="dxa"/>
              <w:end w:w="120" w:type="dxa"/>
            </w:tcMar>
          </w:tcPr>
          <w:p>
            <w:pPr>
              <w:spacing w:after="0"/>
              <w:jc w:val="left"/>
            </w:pPr>
            <w:r>
              <w:rPr>
                <w:rFonts w:ascii="Calibri" w:hAnsi="Calibri"/>
                <w:b/>
                <w:color w:val="0B2545"/>
                <w:sz w:val="18"/>
              </w:rPr>
              <w:t>Example result</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AML record</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UN-000125, John Example, Individual, UN Sanctions</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Customer</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CUS-1001, John Example, PEP = Yes</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Transaction</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TXN-9001, NPR 1,200,000, Nepal to destination country</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Screening</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Name similarity 88%; potential match stored</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Rule</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AmountThreshold rule triggers Review and adds transaction risk</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Result</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Risk evidence persisted; REVIEW decision; alert and case opened</w:t>
            </w:r>
          </w:p>
        </w:tc>
      </w:tr>
    </w:tbl>
    <w:p>
      <w:pPr>
        <w:spacing w:before="80" w:after="80"/>
      </w:pPr>
    </w:p>
    <w:p>
      <w:r>
        <w:br w:type="page"/>
      </w:r>
    </w:p>
    <w:p>
      <w:pPr>
        <w:pStyle w:val="Heading1"/>
      </w:pPr>
      <w:r>
        <w:t>6. Risk scoring and decision logic</w:t>
      </w:r>
    </w:p>
    <w:p>
      <w:pPr>
        <w:keepLines/>
        <w:spacing w:before="100" w:after="180" w:line="276" w:lineRule="auto"/>
        <w:ind w:left="173" w:right="72"/>
        <w:shd w:fill="E7F5F3"/>
        <w:pBdr>
          <w:left w:val="single" w:sz="18" w:space="8" w:color="0E918C"/>
        </w:pBdr>
      </w:pPr>
      <w:r>
        <w:rPr>
          <w:rFonts w:ascii="Calibri" w:hAnsi="Calibri"/>
          <w:b/>
          <w:color w:val="0B2545"/>
          <w:sz w:val="22"/>
        </w:rPr>
        <w:t xml:space="preserve">Prototype formula: </w:t>
      </w:r>
      <w:r>
        <w:rPr>
          <w:rFonts w:ascii="Calibri" w:hAnsi="Calibri"/>
          <w:color w:val="344054"/>
          <w:sz w:val="22"/>
        </w:rPr>
        <w:t>Overall risk = Customer risk x 40% + Transaction risk x 40% + Screening risk x 20%.</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vAlign w:val="center"/>
            <w:tcMar>
              <w:top w:w="80" w:type="dxa"/>
              <w:start w:w="120" w:type="dxa"/>
              <w:bottom w:w="80" w:type="dxa"/>
              <w:end w:w="120" w:type="dxa"/>
            </w:tcMar>
          </w:tcPr>
          <w:p>
            <w:pPr>
              <w:spacing w:after="0"/>
              <w:jc w:val="left"/>
            </w:pPr>
            <w:r>
              <w:rPr>
                <w:rFonts w:ascii="Calibri" w:hAnsi="Calibri"/>
                <w:b/>
                <w:color w:val="0B2545"/>
                <w:sz w:val="18"/>
              </w:rPr>
              <w:t>Component</w:t>
            </w:r>
          </w:p>
        </w:tc>
        <w:tc>
          <w:tcPr>
            <w:tcW w:type="dxa" w:w="7160"/>
            <w:shd w:fill="E8EEF5"/>
            <w:vAlign w:val="center"/>
            <w:tcMar>
              <w:top w:w="80" w:type="dxa"/>
              <w:start w:w="120" w:type="dxa"/>
              <w:bottom w:w="80" w:type="dxa"/>
              <w:end w:w="120" w:type="dxa"/>
            </w:tcMar>
          </w:tcPr>
          <w:p>
            <w:pPr>
              <w:spacing w:after="0"/>
              <w:jc w:val="left"/>
            </w:pPr>
            <w:r>
              <w:rPr>
                <w:rFonts w:ascii="Calibri" w:hAnsi="Calibri"/>
                <w:b/>
                <w:color w:val="0B2545"/>
                <w:sz w:val="18"/>
              </w:rPr>
              <w:t>Current implementation</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Customer risk</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PEP adds 50; missing source of funds adds 15; missing occupation adds 10; final score is capped at 100.</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Screening risk</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Levenshtein name similarity. Sender match can gain 10 for matching date of birth and 5 for matching nationality. Below 75 is ignored; 75-94.99 is potential; 95-100 is confirmed.</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Transaction risk</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Triggered rules add configured RiskScore. NPR/amount-independent fallback: amount &gt;= 1,000,000 sets at least 60; amount &gt;= 500,000 sets at least 35.</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Risk level</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0-29 LOW; 30-59 MEDIUM; 60-79 HIGH; 80-100 CRITICAL.</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8"/>
              </w:rPr>
              <w:t>Decision</w:t>
            </w:r>
          </w:p>
        </w:tc>
        <w:tc>
          <w:tcPr>
            <w:tcW w:type="dxa" w:w="7160"/>
            <w:vAlign w:val="center"/>
            <w:tcMar>
              <w:top w:w="80" w:type="dxa"/>
              <w:start w:w="120" w:type="dxa"/>
              <w:bottom w:w="80" w:type="dxa"/>
              <w:end w:w="120" w:type="dxa"/>
            </w:tcMar>
          </w:tcPr>
          <w:p>
            <w:pPr>
              <w:spacing w:after="0" w:line="259" w:lineRule="auto"/>
            </w:pPr>
            <w:r>
              <w:rPr>
                <w:rFonts w:ascii="Calibri" w:hAnsi="Calibri"/>
                <w:color w:val="344054"/>
                <w:sz w:val="18"/>
              </w:rPr>
              <w:t>Confirmed match or Block action -&gt; BLOCK. Potential match, score &gt;= 60, or Review/Hold/Alert action -&gt; REVIEW. Otherwise -&gt; ALLOW.</w:t>
            </w:r>
          </w:p>
        </w:tc>
      </w:tr>
    </w:tbl>
    <w:p>
      <w:pPr>
        <w:spacing w:before="80" w:after="80"/>
      </w:pPr>
    </w:p>
    <w:p>
      <w:pPr>
        <w:keepLines/>
        <w:spacing w:before="100" w:after="180" w:line="276" w:lineRule="auto"/>
        <w:ind w:left="173" w:right="72"/>
        <w:shd w:fill="FDECEC"/>
        <w:pBdr>
          <w:left w:val="single" w:sz="18" w:space="8" w:color="9B1C1C"/>
        </w:pBdr>
      </w:pPr>
      <w:r>
        <w:rPr>
          <w:rFonts w:ascii="Calibri" w:hAnsi="Calibri"/>
          <w:b/>
          <w:color w:val="0B2545"/>
          <w:sz w:val="22"/>
        </w:rPr>
        <w:t xml:space="preserve">Production caution: </w:t>
      </w:r>
      <w:r>
        <w:rPr>
          <w:rFonts w:ascii="Calibri" w:hAnsi="Calibri"/>
          <w:color w:val="344054"/>
          <w:sz w:val="22"/>
        </w:rPr>
        <w:t>This score is an explainable prototype, not a regulator-approved model. Before production it requires governance, validated thresholds, country/product/channel risk, false-positive testing, model approval and periodic review.</w:t>
      </w:r>
    </w:p>
    <w:p>
      <w:pPr>
        <w:pStyle w:val="Heading1"/>
      </w:pPr>
      <w:r>
        <w:t>7. Database architecture and table dictionary</w:t>
      </w:r>
    </w:p>
    <w:p>
      <w:pPr>
        <w:keepLines w:val="0"/>
        <w:spacing w:after="120"/>
      </w:pPr>
      <w:r>
        <w:rPr>
          <w:rFonts w:ascii="Calibri" w:hAnsi="Calibri"/>
          <w:i w:val="0"/>
          <w:color w:val="000000"/>
          <w:sz w:val="22"/>
        </w:rPr>
        <w:t>The applied SQL Server database contains 19 dbo tables. ClientId is the principal tenant boundary. Foreign keys preserve core relationships, filtered unique indexes protect active references, DeleteFg supports soft deletion and RowVersion supports optimistic concurrency where configured.</w:t>
      </w:r>
    </w:p>
    <w:p>
      <w:pPr>
        <w:pStyle w:val="Heading2"/>
      </w:pPr>
      <w:r>
        <w:t>Core relationships</w:t>
      </w:r>
    </w:p>
    <w:p>
      <w:pPr>
        <w:keepNext/>
        <w:keepLines/>
        <w:spacing w:before="100" w:after="0" w:line="240" w:lineRule="auto"/>
        <w:ind w:left="259" w:right="115"/>
        <w:shd w:fill="F2F4F7"/>
        <w:pBdr>
          <w:left w:val="single" w:sz="12" w:space="6" w:color="2E74B5"/>
        </w:pBdr>
      </w:pPr>
      <w:r>
        <w:rPr>
          <w:rFonts w:ascii="Consolas" w:hAnsi="Consolas"/>
          <w:color w:val="0B2545"/>
          <w:sz w:val="16"/>
        </w:rPr>
        <w:t>Clients 1 -&gt; many Users, AmlRecords, Customers, Transactions, Rules, Alerts, Cases</w:t>
      </w:r>
    </w:p>
    <w:p>
      <w:pPr>
        <w:keepNext/>
        <w:keepLines/>
        <w:spacing w:before="0" w:after="0" w:line="240" w:lineRule="auto"/>
        <w:ind w:left="259" w:right="115"/>
        <w:shd w:fill="F2F4F7"/>
      </w:pPr>
      <w:r>
        <w:rPr>
          <w:rFonts w:ascii="Consolas" w:hAnsi="Consolas"/>
          <w:color w:val="0B2545"/>
          <w:sz w:val="16"/>
        </w:rPr>
        <w:t>Users many -&gt; many Roles through UserRoles</w:t>
      </w:r>
    </w:p>
    <w:p>
      <w:pPr>
        <w:keepNext/>
        <w:keepLines/>
        <w:spacing w:before="0" w:after="0" w:line="240" w:lineRule="auto"/>
        <w:ind w:left="259" w:right="115"/>
        <w:shd w:fill="F2F4F7"/>
      </w:pPr>
      <w:r>
        <w:rPr>
          <w:rFonts w:ascii="Consolas" w:hAnsi="Consolas"/>
          <w:color w:val="0B2545"/>
          <w:sz w:val="16"/>
        </w:rPr>
        <w:t>Roles many -&gt; many Permissions through RolePermissions</w:t>
      </w:r>
    </w:p>
    <w:p>
      <w:pPr>
        <w:keepNext/>
        <w:keepLines/>
        <w:spacing w:before="0" w:after="0" w:line="240" w:lineRule="auto"/>
        <w:ind w:left="259" w:right="115"/>
        <w:shd w:fill="F2F4F7"/>
      </w:pPr>
      <w:r>
        <w:rPr>
          <w:rFonts w:ascii="Consolas" w:hAnsi="Consolas"/>
          <w:color w:val="0B2545"/>
          <w:sz w:val="16"/>
        </w:rPr>
        <w:t>Users many -&gt; many permission overrides through UserPermissions</w:t>
      </w:r>
    </w:p>
    <w:p>
      <w:pPr>
        <w:keepNext/>
        <w:keepLines/>
        <w:spacing w:before="0" w:after="0" w:line="240" w:lineRule="auto"/>
        <w:ind w:left="259" w:right="115"/>
        <w:shd w:fill="F2F4F7"/>
      </w:pPr>
      <w:r>
        <w:rPr>
          <w:rFonts w:ascii="Consolas" w:hAnsi="Consolas"/>
          <w:color w:val="0B2545"/>
          <w:sz w:val="16"/>
        </w:rPr>
        <w:t>Customers 1 -&gt; many AmlTransactions</w:t>
      </w:r>
    </w:p>
    <w:p>
      <w:pPr>
        <w:keepNext/>
        <w:keepLines/>
        <w:spacing w:before="0" w:after="0" w:line="240" w:lineRule="auto"/>
        <w:ind w:left="259" w:right="115"/>
        <w:shd w:fill="F2F4F7"/>
      </w:pPr>
      <w:r>
        <w:rPr>
          <w:rFonts w:ascii="Consolas" w:hAnsi="Consolas"/>
          <w:color w:val="0B2545"/>
          <w:sz w:val="16"/>
        </w:rPr>
        <w:t>AmlTransactions 1 -&gt; many ScreeningMatches</w:t>
      </w:r>
    </w:p>
    <w:p>
      <w:pPr>
        <w:keepNext/>
        <w:keepLines/>
        <w:spacing w:before="0" w:after="0" w:line="240" w:lineRule="auto"/>
        <w:ind w:left="259" w:right="115"/>
        <w:shd w:fill="F2F4F7"/>
      </w:pPr>
      <w:r>
        <w:rPr>
          <w:rFonts w:ascii="Consolas" w:hAnsi="Consolas"/>
          <w:color w:val="0B2545"/>
          <w:sz w:val="16"/>
        </w:rPr>
        <w:t>AmlTransactions 1 -&gt; 1 RiskAssessment -&gt; 1 AmlDecision</w:t>
      </w:r>
    </w:p>
    <w:p>
      <w:pPr>
        <w:keepNext/>
        <w:keepLines/>
        <w:spacing w:before="0" w:after="0" w:line="240" w:lineRule="auto"/>
        <w:ind w:left="259" w:right="115"/>
        <w:shd w:fill="F2F4F7"/>
      </w:pPr>
      <w:r>
        <w:rPr>
          <w:rFonts w:ascii="Consolas" w:hAnsi="Consolas"/>
          <w:color w:val="0B2545"/>
          <w:sz w:val="16"/>
        </w:rPr>
        <w:t>AmlTransactions -&gt; ComplianceAlert -&gt; ComplianceCase</w:t>
      </w:r>
    </w:p>
    <w:p>
      <w:pPr>
        <w:keepNext w:val="0"/>
        <w:keepLines/>
        <w:spacing w:before="0" w:after="160" w:line="240" w:lineRule="auto"/>
        <w:ind w:left="259" w:right="115"/>
        <w:shd w:fill="F2F4F7"/>
      </w:pPr>
      <w:r>
        <w:rPr>
          <w:rFonts w:ascii="Consolas" w:hAnsi="Consolas"/>
          <w:color w:val="0B2545"/>
          <w:sz w:val="16"/>
        </w:rPr>
        <w:t>MenuItems parent -&gt; child MenuItems</w:t>
      </w:r>
    </w:p>
    <w:p>
      <w:pPr>
        <w:pStyle w:val="Heading2"/>
      </w:pPr>
      <w:r>
        <w:t>Identity, access and navigation tables</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trPr>
        <w:tc>
          <w:tcPr>
            <w:tcW w:type="dxa" w:w="1900"/>
            <w:shd w:fill="E8EEF5"/>
            <w:vAlign w:val="center"/>
            <w:tcMar>
              <w:top w:w="80" w:type="dxa"/>
              <w:start w:w="120" w:type="dxa"/>
              <w:bottom w:w="80" w:type="dxa"/>
              <w:end w:w="120" w:type="dxa"/>
            </w:tcMar>
          </w:tcPr>
          <w:p>
            <w:pPr>
              <w:spacing w:after="0"/>
              <w:jc w:val="left"/>
            </w:pPr>
            <w:r>
              <w:rPr>
                <w:rFonts w:ascii="Calibri" w:hAnsi="Calibri"/>
                <w:b/>
                <w:color w:val="0B2545"/>
                <w:sz w:val="17"/>
              </w:rPr>
              <w:t>Table</w:t>
            </w:r>
          </w:p>
        </w:tc>
        <w:tc>
          <w:tcPr>
            <w:tcW w:type="dxa" w:w="2500"/>
            <w:shd w:fill="E8EEF5"/>
            <w:vAlign w:val="center"/>
            <w:tcMar>
              <w:top w:w="80" w:type="dxa"/>
              <w:start w:w="120" w:type="dxa"/>
              <w:bottom w:w="80" w:type="dxa"/>
              <w:end w:w="120" w:type="dxa"/>
            </w:tcMar>
          </w:tcPr>
          <w:p>
            <w:pPr>
              <w:spacing w:after="0"/>
              <w:jc w:val="left"/>
            </w:pPr>
            <w:r>
              <w:rPr>
                <w:rFonts w:ascii="Calibri" w:hAnsi="Calibri"/>
                <w:b/>
                <w:color w:val="0B2545"/>
                <w:sz w:val="17"/>
              </w:rPr>
              <w:t>Purpose</w:t>
            </w:r>
          </w:p>
        </w:tc>
        <w:tc>
          <w:tcPr>
            <w:tcW w:type="dxa" w:w="4960"/>
            <w:shd w:fill="E8EEF5"/>
            <w:vAlign w:val="center"/>
            <w:tcMar>
              <w:top w:w="80" w:type="dxa"/>
              <w:start w:w="120" w:type="dxa"/>
              <w:bottom w:w="80" w:type="dxa"/>
              <w:end w:w="120" w:type="dxa"/>
            </w:tcMar>
          </w:tcPr>
          <w:p>
            <w:pPr>
              <w:spacing w:after="0"/>
              <w:jc w:val="left"/>
            </w:pPr>
            <w:r>
              <w:rPr>
                <w:rFonts w:ascii="Calibri" w:hAnsi="Calibri"/>
                <w:b/>
                <w:color w:val="0B2545"/>
                <w:sz w:val="17"/>
              </w:rPr>
              <w:t>Important columns and relationships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Clients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Tenant/organization master.</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ClientCode unique, ClientName, IsActive, CreatedDate. Parent of client-owned business data.</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Users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Portal login accounts.</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UserId PK, ClientId FK, Username, FullName, PasswordHash, IsActive, LastLoginDate, audit dates.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Roles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Reusable access profiles.</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RoleId PK, RoleName, IsActive, CreatedDate.</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UserRoles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User-to-role bridge.</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Composite relationship: UserId FK -&gt; Users; RoleId FK -&gt; Roles.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Permissions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Named application capabilities.</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PermissionId PK, PermissionName unique, Description, IsActive.</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RolePermissions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Role permission assignments.</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Composite PK; RoleId FK -&gt; Roles; PermissionId FK -&gt; Permissions.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UserPermissions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Per-user grant/deny overrides.</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Composite PK; UserId FK, PermissionId FK, IsGranted. Overrides the role result.</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MenuItems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Database-driven sidebar catalog.</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MenuId PK, ParentMenuId self-FK, MenuKey, DisplayName, controller/action, icon, PermissionCode, order, active flag.</w:t>
            </w:r>
          </w:p>
        </w:tc>
      </w:tr>
    </w:tbl>
    <w:p>
      <w:pPr>
        <w:spacing w:before="80" w:after="80"/>
      </w:pPr>
    </w:p>
    <w:p>
      <w:pPr>
        <w:pStyle w:val="Heading2"/>
      </w:pPr>
      <w:r>
        <w:t>AML and compliance workflow tables</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trPr>
        <w:tc>
          <w:tcPr>
            <w:tcW w:type="dxa" w:w="1900"/>
            <w:shd w:fill="E8EEF5"/>
            <w:vAlign w:val="center"/>
            <w:tcMar>
              <w:top w:w="80" w:type="dxa"/>
              <w:start w:w="120" w:type="dxa"/>
              <w:bottom w:w="80" w:type="dxa"/>
              <w:end w:w="120" w:type="dxa"/>
            </w:tcMar>
          </w:tcPr>
          <w:p>
            <w:pPr>
              <w:spacing w:after="0"/>
              <w:jc w:val="left"/>
            </w:pPr>
            <w:r>
              <w:rPr>
                <w:rFonts w:ascii="Calibri" w:hAnsi="Calibri"/>
                <w:b/>
                <w:color w:val="0B2545"/>
                <w:sz w:val="17"/>
              </w:rPr>
              <w:t>Table</w:t>
            </w:r>
          </w:p>
        </w:tc>
        <w:tc>
          <w:tcPr>
            <w:tcW w:type="dxa" w:w="2500"/>
            <w:shd w:fill="E8EEF5"/>
            <w:vAlign w:val="center"/>
            <w:tcMar>
              <w:top w:w="80" w:type="dxa"/>
              <w:start w:w="120" w:type="dxa"/>
              <w:bottom w:w="80" w:type="dxa"/>
              <w:end w:w="120" w:type="dxa"/>
            </w:tcMar>
          </w:tcPr>
          <w:p>
            <w:pPr>
              <w:spacing w:after="0"/>
              <w:jc w:val="left"/>
            </w:pPr>
            <w:r>
              <w:rPr>
                <w:rFonts w:ascii="Calibri" w:hAnsi="Calibri"/>
                <w:b/>
                <w:color w:val="0B2545"/>
                <w:sz w:val="17"/>
              </w:rPr>
              <w:t>Purpose</w:t>
            </w:r>
          </w:p>
        </w:tc>
        <w:tc>
          <w:tcPr>
            <w:tcW w:type="dxa" w:w="4960"/>
            <w:shd w:fill="E8EEF5"/>
            <w:vAlign w:val="center"/>
            <w:tcMar>
              <w:top w:w="80" w:type="dxa"/>
              <w:start w:w="120" w:type="dxa"/>
              <w:bottom w:w="80" w:type="dxa"/>
              <w:end w:w="120" w:type="dxa"/>
            </w:tcMar>
          </w:tcPr>
          <w:p>
            <w:pPr>
              <w:spacing w:after="0"/>
              <w:jc w:val="left"/>
            </w:pPr>
            <w:r>
              <w:rPr>
                <w:rFonts w:ascii="Calibri" w:hAnsi="Calibri"/>
                <w:b/>
                <w:color w:val="0B2545"/>
                <w:sz w:val="17"/>
              </w:rPr>
              <w:t>Important columns and relationships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AmlRecords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PEP/sanctions/watchlist master data.</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OwnerUserId FK, type/name/DOB/country/nationality/reference/source, active/audit/soft-delete/concurrency fields.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Customers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Customer/KYC profiles and customer risk.</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CustomerReference unique per client, KYC fields, IsPep, RiskScore, RiskLevel, lifecycle fields.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AmlTransactions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Transactions submitted for evaluation.</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CustomerId FK, reference, parties, amount/currency, countries/channel/date, correlation, decision and lifecycle fields.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ComplianceRules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Tenant rule configuration.</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code/version/type/threshold/velocity/action/risk/priority/approval/effective dates, lifecycle fields.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ScreeningMatches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Evidence of watchlist comparisons.</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TransactionId FK, AmlRecordId FK, subject/matched names, score/status/source/list version/fields.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RiskAssessments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Persisted component and overall risk.</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TransactionId unique FK, component scores, overall score/level, model version, factors and calculation time.</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AmlDecisions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Explainable ALLOW/REVIEW/BLOCK result.</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TransactionId unique FK, RiskAssessmentId FK, correlation, reasons, rule/model/list versions.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ComplianceAlerts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Analyst alert work queue.</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TransactionId/RiskAssessmentId FKs, severity/reason/status, AssignedUserId FK, resolution and lifecycle fields.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ComplianceCases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Formal investigation record.</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Id PK, ClientId FK, AlertId/TransactionId FKs, status, AssignedUserId FK, disposition, notes, closed date and lifecycle fields.</w:t>
            </w:r>
          </w:p>
        </w:tc>
      </w:tr>
    </w:tbl>
    <w:p>
      <w:pPr>
        <w:spacing w:before="80" w:after="80"/>
      </w:pPr>
    </w:p>
    <w:p>
      <w:r>
        <w:br w:type="page"/>
      </w:r>
    </w:p>
    <w:p>
      <w:pPr>
        <w:pStyle w:val="Heading2"/>
      </w:pPr>
      <w:r>
        <w:t>Operational and commercial tables</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trPr>
        <w:tc>
          <w:tcPr>
            <w:tcW w:type="dxa" w:w="1900"/>
            <w:shd w:fill="E8EEF5"/>
            <w:vAlign w:val="center"/>
            <w:tcMar>
              <w:top w:w="80" w:type="dxa"/>
              <w:start w:w="120" w:type="dxa"/>
              <w:bottom w:w="80" w:type="dxa"/>
              <w:end w:w="120" w:type="dxa"/>
            </w:tcMar>
          </w:tcPr>
          <w:p>
            <w:pPr>
              <w:spacing w:after="0"/>
              <w:jc w:val="left"/>
            </w:pPr>
            <w:r>
              <w:rPr>
                <w:rFonts w:ascii="Calibri" w:hAnsi="Calibri"/>
                <w:b/>
                <w:color w:val="0B2545"/>
                <w:sz w:val="17"/>
              </w:rPr>
              <w:t>Table</w:t>
            </w:r>
          </w:p>
        </w:tc>
        <w:tc>
          <w:tcPr>
            <w:tcW w:type="dxa" w:w="2500"/>
            <w:shd w:fill="E8EEF5"/>
            <w:vAlign w:val="center"/>
            <w:tcMar>
              <w:top w:w="80" w:type="dxa"/>
              <w:start w:w="120" w:type="dxa"/>
              <w:bottom w:w="80" w:type="dxa"/>
              <w:end w:w="120" w:type="dxa"/>
            </w:tcMar>
          </w:tcPr>
          <w:p>
            <w:pPr>
              <w:spacing w:after="0"/>
              <w:jc w:val="left"/>
            </w:pPr>
            <w:r>
              <w:rPr>
                <w:rFonts w:ascii="Calibri" w:hAnsi="Calibri"/>
                <w:b/>
                <w:color w:val="0B2545"/>
                <w:sz w:val="17"/>
              </w:rPr>
              <w:t>Purpose</w:t>
            </w:r>
          </w:p>
        </w:tc>
        <w:tc>
          <w:tcPr>
            <w:tcW w:type="dxa" w:w="4960"/>
            <w:shd w:fill="E8EEF5"/>
            <w:vAlign w:val="center"/>
            <w:tcMar>
              <w:top w:w="80" w:type="dxa"/>
              <w:start w:w="120" w:type="dxa"/>
              <w:bottom w:w="80" w:type="dxa"/>
              <w:end w:w="120" w:type="dxa"/>
            </w:tcMar>
          </w:tcPr>
          <w:p>
            <w:pPr>
              <w:spacing w:after="0"/>
              <w:jc w:val="left"/>
            </w:pPr>
            <w:r>
              <w:rPr>
                <w:rFonts w:ascii="Calibri" w:hAnsi="Calibri"/>
                <w:b/>
                <w:color w:val="0B2545"/>
                <w:sz w:val="17"/>
              </w:rPr>
              <w:t>Important columns and relationships</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AuditLogs</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Immutable-style application activity evidence.</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AuditLogId PK, ClientId FK, UserId, Username, Action, EntityType, EntityId, Details, CreatedDate.</w:t>
            </w:r>
          </w:p>
        </w:tc>
      </w:tr>
      <w:tr>
        <w:trPr>
          <w:cantSplit/>
        </w:trPr>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AML_Subscription_Plan</w:t>
            </w:r>
          </w:p>
        </w:tc>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Subscription/source plan catalog.</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PlanId PK, SourceCode/SourceName, DurationMonths, Rate, IsActive, audit/soft-delete/concurrency fields.</w:t>
            </w:r>
          </w:p>
        </w:tc>
      </w:tr>
    </w:tbl>
    <w:p>
      <w:pPr>
        <w:spacing w:before="80" w:after="80"/>
      </w:pPr>
    </w:p>
    <w:p>
      <w:pPr>
        <w:pStyle w:val="Heading2"/>
      </w:pPr>
      <w:r>
        <w:t>Data integrity controls</w:t>
      </w:r>
    </w:p>
    <w:p>
      <w:pPr>
        <w:pStyle w:val="ListBullet"/>
        <w:keepLines/>
        <w:spacing w:after="80" w:line="300" w:lineRule="auto"/>
      </w:pPr>
      <w:r>
        <w:rPr>
          <w:rFonts w:ascii="Calibri" w:hAnsi="Calibri"/>
          <w:color w:val="000000"/>
          <w:sz w:val="22"/>
        </w:rPr>
        <w:t>Unique client references prevent duplicate active AML, customer, transaction, alert and case references within the same client.</w:t>
      </w:r>
    </w:p>
    <w:p>
      <w:pPr>
        <w:pStyle w:val="ListBullet"/>
        <w:keepLines/>
        <w:spacing w:after="80" w:line="300" w:lineRule="auto"/>
      </w:pPr>
      <w:r>
        <w:rPr>
          <w:rFonts w:ascii="Calibri" w:hAnsi="Calibri"/>
          <w:color w:val="000000"/>
          <w:sz w:val="22"/>
        </w:rPr>
        <w:t>Foreign keys prevent orphaned client, customer, transaction, alert, user and permission relationships.</w:t>
      </w:r>
    </w:p>
    <w:p>
      <w:pPr>
        <w:pStyle w:val="ListBullet"/>
        <w:keepLines/>
        <w:spacing w:after="80" w:line="300" w:lineRule="auto"/>
      </w:pPr>
      <w:r>
        <w:rPr>
          <w:rFonts w:ascii="Calibri" w:hAnsi="Calibri"/>
          <w:color w:val="000000"/>
          <w:sz w:val="22"/>
        </w:rPr>
        <w:t>Check constraints enforce positive transaction amounts, valid risk-score ranges and Y/N soft-delete flags.</w:t>
      </w:r>
    </w:p>
    <w:p>
      <w:pPr>
        <w:pStyle w:val="ListBullet"/>
        <w:keepLines/>
        <w:spacing w:after="80" w:line="300" w:lineRule="auto"/>
      </w:pPr>
      <w:r>
        <w:rPr>
          <w:rFonts w:ascii="Calibri" w:hAnsi="Calibri"/>
          <w:color w:val="000000"/>
          <w:sz w:val="22"/>
        </w:rPr>
        <w:t>RowVersion detects concurrent edits for supported entities.</w:t>
      </w:r>
    </w:p>
    <w:p>
      <w:pPr>
        <w:pStyle w:val="ListBullet"/>
        <w:keepLines/>
        <w:spacing w:after="80" w:line="300" w:lineRule="auto"/>
      </w:pPr>
      <w:r>
        <w:rPr>
          <w:rFonts w:ascii="Calibri" w:hAnsi="Calibri"/>
          <w:color w:val="000000"/>
          <w:sz w:val="22"/>
        </w:rPr>
        <w:t>EF Core query filters hide soft-deleted rows and enforce ClientId scope for mapped workflow entities.</w:t>
      </w:r>
    </w:p>
    <w:p>
      <w:pPr>
        <w:pStyle w:val="Heading1"/>
      </w:pPr>
      <w:r>
        <w:t>8. Stored procedure catalog and SQL definitions</w:t>
      </w:r>
    </w:p>
    <w:p>
      <w:pPr>
        <w:keepLines/>
        <w:spacing w:before="100" w:after="180" w:line="276" w:lineRule="auto"/>
        <w:ind w:left="173" w:right="72"/>
        <w:shd w:fill="E7F5F3"/>
        <w:pBdr>
          <w:left w:val="single" w:sz="18" w:space="8" w:color="0E918C"/>
        </w:pBdr>
      </w:pPr>
      <w:r>
        <w:rPr>
          <w:rFonts w:ascii="Calibri" w:hAnsi="Calibri"/>
          <w:b/>
          <w:color w:val="0B2545"/>
          <w:sz w:val="22"/>
        </w:rPr>
        <w:t xml:space="preserve">Verified live catalog: </w:t>
      </w:r>
      <w:r>
        <w:rPr>
          <w:rFonts w:ascii="Calibri" w:hAnsi="Calibri"/>
          <w:color w:val="344054"/>
          <w:sz w:val="22"/>
        </w:rPr>
        <w:t>Three stored procedures currently exist. Source-code search found no current C# call using CommandType.StoredProcedure or these procedure names. Active authentication and repositories use inline Dapper SQL or EF Core.</w:t>
      </w:r>
    </w:p>
    <w:tbl>
      <w:tblPr>
        <w:tblStyle w:val="TableGrid"/>
        <w:tblW w:type="dxa" w:w="9360"/>
        <w:jc w:val="left"/>
        <w:tblLayout w:type="fixed"/>
        <w:tblLook w:firstColumn="1" w:firstRow="1" w:lastColumn="0" w:lastRow="0" w:noHBand="0" w:noVBand="1" w:val="04A0"/>
        <w:tblInd w:w="120" w:type="dxa"/>
      </w:tblPr>
      <w:tblGrid>
        <w:gridCol w:w="2900"/>
        <w:gridCol w:w="3100"/>
        <w:gridCol w:w="3360"/>
      </w:tblGrid>
      <w:tr>
        <w:trPr>
          <w:tblHeader w:val="true"/>
          <w:cantSplit/>
        </w:trPr>
        <w:tc>
          <w:tcPr>
            <w:tcW w:type="dxa" w:w="2900"/>
            <w:shd w:fill="E8EEF5"/>
            <w:vAlign w:val="center"/>
            <w:tcMar>
              <w:top w:w="80" w:type="dxa"/>
              <w:start w:w="120" w:type="dxa"/>
              <w:bottom w:w="80" w:type="dxa"/>
              <w:end w:w="120" w:type="dxa"/>
            </w:tcMar>
          </w:tcPr>
          <w:p>
            <w:pPr>
              <w:spacing w:after="0"/>
              <w:jc w:val="left"/>
            </w:pPr>
            <w:r>
              <w:rPr>
                <w:rFonts w:ascii="Calibri" w:hAnsi="Calibri"/>
                <w:b/>
                <w:color w:val="0B2545"/>
                <w:sz w:val="17"/>
              </w:rPr>
              <w:t>Procedure</w:t>
            </w:r>
          </w:p>
        </w:tc>
        <w:tc>
          <w:tcPr>
            <w:tcW w:type="dxa" w:w="3100"/>
            <w:shd w:fill="E8EEF5"/>
            <w:vAlign w:val="center"/>
            <w:tcMar>
              <w:top w:w="80" w:type="dxa"/>
              <w:start w:w="120" w:type="dxa"/>
              <w:bottom w:w="80" w:type="dxa"/>
              <w:end w:w="120" w:type="dxa"/>
            </w:tcMar>
          </w:tcPr>
          <w:p>
            <w:pPr>
              <w:spacing w:after="0"/>
              <w:jc w:val="left"/>
            </w:pPr>
            <w:r>
              <w:rPr>
                <w:rFonts w:ascii="Calibri" w:hAnsi="Calibri"/>
                <w:b/>
                <w:color w:val="0B2545"/>
                <w:sz w:val="17"/>
              </w:rPr>
              <w:t>Purpose</w:t>
            </w:r>
          </w:p>
        </w:tc>
        <w:tc>
          <w:tcPr>
            <w:tcW w:type="dxa" w:w="3360"/>
            <w:shd w:fill="E8EEF5"/>
            <w:vAlign w:val="center"/>
            <w:tcMar>
              <w:top w:w="80" w:type="dxa"/>
              <w:start w:w="120" w:type="dxa"/>
              <w:bottom w:w="80" w:type="dxa"/>
              <w:end w:w="120" w:type="dxa"/>
            </w:tcMar>
          </w:tcPr>
          <w:p>
            <w:pPr>
              <w:spacing w:after="0"/>
              <w:jc w:val="left"/>
            </w:pPr>
            <w:r>
              <w:rPr>
                <w:rFonts w:ascii="Calibri" w:hAnsi="Calibri"/>
                <w:b/>
                <w:color w:val="0B2545"/>
                <w:sz w:val="17"/>
              </w:rPr>
              <w:t>Current status</w:t>
            </w:r>
          </w:p>
        </w:tc>
      </w:tr>
      <w:tr>
        <w:trPr>
          <w:cantSplit/>
        </w:trPr>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spa_AML_SubscriptionPlan_GetAll</w:t>
            </w:r>
          </w:p>
        </w:tc>
        <w:tc>
          <w:tcPr>
            <w:tcW w:type="dxa" w:w="3100"/>
            <w:vAlign w:val="center"/>
            <w:tcMar>
              <w:top w:w="80" w:type="dxa"/>
              <w:start w:w="120" w:type="dxa"/>
              <w:bottom w:w="80" w:type="dxa"/>
              <w:end w:w="120" w:type="dxa"/>
            </w:tcMar>
          </w:tcPr>
          <w:p>
            <w:pPr>
              <w:spacing w:after="0" w:line="259" w:lineRule="auto"/>
            </w:pPr>
            <w:r>
              <w:rPr>
                <w:rFonts w:ascii="Calibri" w:hAnsi="Calibri"/>
                <w:color w:val="344054"/>
                <w:sz w:val="17"/>
              </w:rPr>
              <w:t>Returns active subscription plans ordered by PlanId.</w:t>
            </w:r>
          </w:p>
        </w:tc>
        <w:tc>
          <w:tcPr>
            <w:tcW w:type="dxa" w:w="3360"/>
            <w:vAlign w:val="center"/>
            <w:tcMar>
              <w:top w:w="80" w:type="dxa"/>
              <w:start w:w="120" w:type="dxa"/>
              <w:bottom w:w="80" w:type="dxa"/>
              <w:end w:w="120" w:type="dxa"/>
            </w:tcMar>
          </w:tcPr>
          <w:p>
            <w:pPr>
              <w:spacing w:after="0" w:line="259" w:lineRule="auto"/>
            </w:pPr>
            <w:r>
              <w:rPr>
                <w:rFonts w:ascii="Calibri" w:hAnsi="Calibri"/>
                <w:color w:val="344054"/>
                <w:sz w:val="17"/>
              </w:rPr>
              <w:t>Legacy/support; not called by current SubscriptionRepository.</w:t>
            </w:r>
          </w:p>
        </w:tc>
      </w:tr>
      <w:tr>
        <w:trPr>
          <w:cantSplit/>
        </w:trPr>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usp_User_GetForLogin</w:t>
            </w:r>
          </w:p>
        </w:tc>
        <w:tc>
          <w:tcPr>
            <w:tcW w:type="dxa" w:w="3100"/>
            <w:vAlign w:val="center"/>
            <w:tcMar>
              <w:top w:w="80" w:type="dxa"/>
              <w:start w:w="120" w:type="dxa"/>
              <w:bottom w:w="80" w:type="dxa"/>
              <w:end w:w="120" w:type="dxa"/>
            </w:tcMar>
          </w:tcPr>
          <w:p>
            <w:pPr>
              <w:spacing w:after="0" w:line="259" w:lineRule="auto"/>
            </w:pPr>
            <w:r>
              <w:rPr>
                <w:rFonts w:ascii="Calibri" w:hAnsi="Calibri"/>
                <w:color w:val="344054"/>
                <w:sz w:val="17"/>
              </w:rPr>
              <w:t>Returns an active user and role by username.</w:t>
            </w:r>
          </w:p>
        </w:tc>
        <w:tc>
          <w:tcPr>
            <w:tcW w:type="dxa" w:w="3360"/>
            <w:vAlign w:val="center"/>
            <w:tcMar>
              <w:top w:w="80" w:type="dxa"/>
              <w:start w:w="120" w:type="dxa"/>
              <w:bottom w:w="80" w:type="dxa"/>
              <w:end w:w="120" w:type="dxa"/>
            </w:tcMar>
          </w:tcPr>
          <w:p>
            <w:pPr>
              <w:spacing w:after="0" w:line="259" w:lineRule="auto"/>
            </w:pPr>
            <w:r>
              <w:rPr>
                <w:rFonts w:ascii="Calibri" w:hAnsi="Calibri"/>
                <w:color w:val="344054"/>
                <w:sz w:val="17"/>
              </w:rPr>
              <w:t>Legacy; missing ClientId and permission resolution required by current login result.</w:t>
            </w:r>
          </w:p>
        </w:tc>
      </w:tr>
      <w:tr>
        <w:trPr>
          <w:cantSplit/>
        </w:trPr>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usp_User_UpdateLastLogin</w:t>
            </w:r>
          </w:p>
        </w:tc>
        <w:tc>
          <w:tcPr>
            <w:tcW w:type="dxa" w:w="3100"/>
            <w:vAlign w:val="center"/>
            <w:tcMar>
              <w:top w:w="80" w:type="dxa"/>
              <w:start w:w="120" w:type="dxa"/>
              <w:bottom w:w="80" w:type="dxa"/>
              <w:end w:w="120" w:type="dxa"/>
            </w:tcMar>
          </w:tcPr>
          <w:p>
            <w:pPr>
              <w:spacing w:after="0" w:line="259" w:lineRule="auto"/>
            </w:pPr>
            <w:r>
              <w:rPr>
                <w:rFonts w:ascii="Calibri" w:hAnsi="Calibri"/>
                <w:color w:val="344054"/>
                <w:sz w:val="17"/>
              </w:rPr>
              <w:t>Updates LastLoginDate for a user.</w:t>
            </w:r>
          </w:p>
        </w:tc>
        <w:tc>
          <w:tcPr>
            <w:tcW w:type="dxa" w:w="3360"/>
            <w:vAlign w:val="center"/>
            <w:tcMar>
              <w:top w:w="80" w:type="dxa"/>
              <w:start w:w="120" w:type="dxa"/>
              <w:bottom w:w="80" w:type="dxa"/>
              <w:end w:w="120" w:type="dxa"/>
            </w:tcMar>
          </w:tcPr>
          <w:p>
            <w:pPr>
              <w:spacing w:after="0" w:line="259" w:lineRule="auto"/>
            </w:pPr>
            <w:r>
              <w:rPr>
                <w:rFonts w:ascii="Calibri" w:hAnsi="Calibri"/>
                <w:color w:val="344054"/>
                <w:sz w:val="17"/>
              </w:rPr>
              <w:t>Legacy; current repository performs an inline SYSUTCDATETIME update.</w:t>
            </w:r>
          </w:p>
        </w:tc>
      </w:tr>
    </w:tbl>
    <w:p>
      <w:pPr>
        <w:spacing w:before="80" w:after="80"/>
      </w:pPr>
    </w:p>
    <w:p>
      <w:pPr>
        <w:pStyle w:val="Heading2"/>
      </w:pPr>
      <w:r>
        <w:t>dbo.spa_AML_SubscriptionPlan_GetAll</w:t>
      </w:r>
    </w:p>
    <w:p>
      <w:pPr>
        <w:keepNext/>
        <w:keepLines/>
        <w:spacing w:before="100" w:after="0" w:line="240" w:lineRule="auto"/>
        <w:ind w:left="259" w:right="115"/>
        <w:shd w:fill="F2F4F7"/>
        <w:pBdr>
          <w:left w:val="single" w:sz="12" w:space="6" w:color="2E74B5"/>
        </w:pBdr>
      </w:pPr>
      <w:r>
        <w:rPr>
          <w:rFonts w:ascii="Consolas" w:hAnsi="Consolas"/>
          <w:color w:val="0B2545"/>
          <w:sz w:val="16"/>
        </w:rPr>
        <w:t>CREATE PROC dbo.spa_AML_SubscriptionPlan_GetAll</w:t>
      </w:r>
    </w:p>
    <w:p>
      <w:pPr>
        <w:keepNext/>
        <w:keepLines/>
        <w:spacing w:before="0" w:after="0" w:line="240" w:lineRule="auto"/>
        <w:ind w:left="259" w:right="115"/>
        <w:shd w:fill="F2F4F7"/>
      </w:pPr>
      <w:r>
        <w:rPr>
          <w:rFonts w:ascii="Consolas" w:hAnsi="Consolas"/>
          <w:color w:val="0B2545"/>
          <w:sz w:val="16"/>
        </w:rPr>
        <w:t>AS</w:t>
      </w:r>
    </w:p>
    <w:p>
      <w:pPr>
        <w:keepNext/>
        <w:keepLines/>
        <w:spacing w:before="0" w:after="0" w:line="240" w:lineRule="auto"/>
        <w:ind w:left="259" w:right="115"/>
        <w:shd w:fill="F2F4F7"/>
      </w:pPr>
      <w:r>
        <w:rPr>
          <w:rFonts w:ascii="Consolas" w:hAnsi="Consolas"/>
          <w:color w:val="0B2545"/>
          <w:sz w:val="16"/>
        </w:rPr>
        <w:t>BEGIN</w:t>
      </w:r>
    </w:p>
    <w:p>
      <w:pPr>
        <w:keepNext/>
        <w:keepLines/>
        <w:spacing w:before="0" w:after="0" w:line="240" w:lineRule="auto"/>
        <w:ind w:left="259" w:right="115"/>
        <w:shd w:fill="F2F4F7"/>
      </w:pPr>
      <w:r>
        <w:rPr>
          <w:rFonts w:ascii="Consolas" w:hAnsi="Consolas"/>
          <w:color w:val="0B2545"/>
          <w:sz w:val="16"/>
        </w:rPr>
        <w:t xml:space="preserve">    SET NOCOUNT ON;</w:t>
      </w:r>
    </w:p>
    <w:p>
      <w:pPr>
        <w:keepNext/>
        <w:keepLines/>
        <w:spacing w:before="0" w:after="0" w:line="240" w:lineRule="auto"/>
        <w:ind w:left="259" w:right="115"/>
        <w:shd w:fill="F2F4F7"/>
      </w:pPr>
      <w:r>
        <w:rPr>
          <w:rFonts w:ascii="Consolas" w:hAnsi="Consolas"/>
          <w:color w:val="0B2545"/>
          <w:sz w:val="16"/>
        </w:rPr>
        <w:t xml:space="preserve">    SELECT PlanId, SourceCode, SourceName, DurationMonths, Rate, IsActive</w:t>
      </w:r>
    </w:p>
    <w:p>
      <w:pPr>
        <w:keepNext/>
        <w:keepLines/>
        <w:spacing w:before="0" w:after="0" w:line="240" w:lineRule="auto"/>
        <w:ind w:left="259" w:right="115"/>
        <w:shd w:fill="F2F4F7"/>
      </w:pPr>
      <w:r>
        <w:rPr>
          <w:rFonts w:ascii="Consolas" w:hAnsi="Consolas"/>
          <w:color w:val="0B2545"/>
          <w:sz w:val="16"/>
        </w:rPr>
        <w:t xml:space="preserve">    FROM dbo.AML_Subscription_Plan</w:t>
      </w:r>
    </w:p>
    <w:p>
      <w:pPr>
        <w:keepNext/>
        <w:keepLines/>
        <w:spacing w:before="0" w:after="0" w:line="240" w:lineRule="auto"/>
        <w:ind w:left="259" w:right="115"/>
        <w:shd w:fill="F2F4F7"/>
      </w:pPr>
      <w:r>
        <w:rPr>
          <w:rFonts w:ascii="Consolas" w:hAnsi="Consolas"/>
          <w:color w:val="0B2545"/>
          <w:sz w:val="16"/>
        </w:rPr>
        <w:t xml:space="preserve">    WHERE IsActive = 1</w:t>
      </w:r>
    </w:p>
    <w:p>
      <w:pPr>
        <w:keepNext/>
        <w:keepLines/>
        <w:spacing w:before="0" w:after="0" w:line="240" w:lineRule="auto"/>
        <w:ind w:left="259" w:right="115"/>
        <w:shd w:fill="F2F4F7"/>
      </w:pPr>
      <w:r>
        <w:rPr>
          <w:rFonts w:ascii="Consolas" w:hAnsi="Consolas"/>
          <w:color w:val="0B2545"/>
          <w:sz w:val="16"/>
        </w:rPr>
        <w:t xml:space="preserve">    ORDER BY PlanId;</w:t>
      </w:r>
    </w:p>
    <w:p>
      <w:pPr>
        <w:keepNext w:val="0"/>
        <w:keepLines/>
        <w:spacing w:before="0" w:after="160" w:line="240" w:lineRule="auto"/>
        <w:ind w:left="259" w:right="115"/>
        <w:shd w:fill="F2F4F7"/>
      </w:pPr>
      <w:r>
        <w:rPr>
          <w:rFonts w:ascii="Consolas" w:hAnsi="Consolas"/>
          <w:color w:val="0B2545"/>
          <w:sz w:val="16"/>
        </w:rPr>
        <w:t>END;</w:t>
      </w:r>
    </w:p>
    <w:p>
      <w:pPr>
        <w:keepLines w:val="0"/>
        <w:spacing w:after="120"/>
      </w:pPr>
      <w:r>
        <w:rPr>
          <w:rFonts w:ascii="Calibri" w:hAnsi="Calibri"/>
          <w:i w:val="0"/>
          <w:color w:val="000000"/>
          <w:sz w:val="22"/>
        </w:rPr>
        <w:t>Before reuse, add DeleteFg filtering and decide whether subscription plans are global or client-owned. Current repository behavior includes pagination, soft delete, auditing and concurrency that this procedure does not provide.</w:t>
      </w:r>
    </w:p>
    <w:p>
      <w:pPr>
        <w:pStyle w:val="Heading2"/>
      </w:pPr>
      <w:r>
        <w:t>dbo.usp_User_GetForLogin</w:t>
      </w:r>
    </w:p>
    <w:p>
      <w:pPr>
        <w:keepNext/>
        <w:keepLines/>
        <w:spacing w:before="100" w:after="0" w:line="240" w:lineRule="auto"/>
        <w:ind w:left="259" w:right="115"/>
        <w:shd w:fill="F2F4F7"/>
        <w:pBdr>
          <w:left w:val="single" w:sz="12" w:space="6" w:color="2E74B5"/>
        </w:pBdr>
      </w:pPr>
      <w:r>
        <w:rPr>
          <w:rFonts w:ascii="Consolas" w:hAnsi="Consolas"/>
          <w:color w:val="0B2545"/>
          <w:sz w:val="16"/>
        </w:rPr>
        <w:t>CREATE PROCEDURE dbo.usp_User_GetForLogin</w:t>
      </w:r>
    </w:p>
    <w:p>
      <w:pPr>
        <w:keepNext/>
        <w:keepLines/>
        <w:spacing w:before="0" w:after="0" w:line="240" w:lineRule="auto"/>
        <w:ind w:left="259" w:right="115"/>
        <w:shd w:fill="F2F4F7"/>
      </w:pPr>
      <w:r>
        <w:rPr>
          <w:rFonts w:ascii="Consolas" w:hAnsi="Consolas"/>
          <w:color w:val="0B2545"/>
          <w:sz w:val="16"/>
        </w:rPr>
        <w:t xml:space="preserve">    @Username VARCHAR(100)</w:t>
      </w:r>
    </w:p>
    <w:p>
      <w:pPr>
        <w:keepNext/>
        <w:keepLines/>
        <w:spacing w:before="0" w:after="0" w:line="240" w:lineRule="auto"/>
        <w:ind w:left="259" w:right="115"/>
        <w:shd w:fill="F2F4F7"/>
      </w:pPr>
      <w:r>
        <w:rPr>
          <w:rFonts w:ascii="Consolas" w:hAnsi="Consolas"/>
          <w:color w:val="0B2545"/>
          <w:sz w:val="16"/>
        </w:rPr>
        <w:t>AS</w:t>
      </w:r>
    </w:p>
    <w:p>
      <w:pPr>
        <w:keepNext/>
        <w:keepLines/>
        <w:spacing w:before="0" w:after="0" w:line="240" w:lineRule="auto"/>
        <w:ind w:left="259" w:right="115"/>
        <w:shd w:fill="F2F4F7"/>
      </w:pPr>
      <w:r>
        <w:rPr>
          <w:rFonts w:ascii="Consolas" w:hAnsi="Consolas"/>
          <w:color w:val="0B2545"/>
          <w:sz w:val="16"/>
        </w:rPr>
        <w:t>BEGIN</w:t>
      </w:r>
    </w:p>
    <w:p>
      <w:pPr>
        <w:keepNext/>
        <w:keepLines/>
        <w:spacing w:before="0" w:after="0" w:line="240" w:lineRule="auto"/>
        <w:ind w:left="259" w:right="115"/>
        <w:shd w:fill="F2F4F7"/>
      </w:pPr>
      <w:r>
        <w:rPr>
          <w:rFonts w:ascii="Consolas" w:hAnsi="Consolas"/>
          <w:color w:val="0B2545"/>
          <w:sz w:val="16"/>
        </w:rPr>
        <w:t xml:space="preserve">    SET NOCOUNT ON;</w:t>
      </w:r>
    </w:p>
    <w:p>
      <w:pPr>
        <w:keepNext/>
        <w:keepLines/>
        <w:spacing w:before="0" w:after="0" w:line="240" w:lineRule="auto"/>
        <w:ind w:left="259" w:right="115"/>
        <w:shd w:fill="F2F4F7"/>
      </w:pPr>
      <w:r>
        <w:rPr>
          <w:rFonts w:ascii="Consolas" w:hAnsi="Consolas"/>
          <w:color w:val="0B2545"/>
          <w:sz w:val="16"/>
        </w:rPr>
        <w:t xml:space="preserve">    SELECT u.UserId, u.Username, u.FullName, u.PasswordHash,</w:t>
      </w:r>
    </w:p>
    <w:p>
      <w:pPr>
        <w:keepNext/>
        <w:keepLines/>
        <w:spacing w:before="0" w:after="0" w:line="240" w:lineRule="auto"/>
        <w:ind w:left="259" w:right="115"/>
        <w:shd w:fill="F2F4F7"/>
      </w:pPr>
      <w:r>
        <w:rPr>
          <w:rFonts w:ascii="Consolas" w:hAnsi="Consolas"/>
          <w:color w:val="0B2545"/>
          <w:sz w:val="16"/>
        </w:rPr>
        <w:t xml:space="preserve">           u.IsActive, r.RoleId, r.RoleName</w:t>
      </w:r>
    </w:p>
    <w:p>
      <w:pPr>
        <w:keepNext/>
        <w:keepLines/>
        <w:spacing w:before="0" w:after="0" w:line="240" w:lineRule="auto"/>
        <w:ind w:left="259" w:right="115"/>
        <w:shd w:fill="F2F4F7"/>
      </w:pPr>
      <w:r>
        <w:rPr>
          <w:rFonts w:ascii="Consolas" w:hAnsi="Consolas"/>
          <w:color w:val="0B2545"/>
          <w:sz w:val="16"/>
        </w:rPr>
        <w:t xml:space="preserve">    FROM dbo.Users u</w:t>
      </w:r>
    </w:p>
    <w:p>
      <w:pPr>
        <w:keepNext/>
        <w:keepLines/>
        <w:spacing w:before="0" w:after="0" w:line="240" w:lineRule="auto"/>
        <w:ind w:left="259" w:right="115"/>
        <w:shd w:fill="F2F4F7"/>
      </w:pPr>
      <w:r>
        <w:rPr>
          <w:rFonts w:ascii="Consolas" w:hAnsi="Consolas"/>
          <w:color w:val="0B2545"/>
          <w:sz w:val="16"/>
        </w:rPr>
        <w:t xml:space="preserve">    INNER JOIN dbo.UserRoles ur ON u.UserId = ur.UserId</w:t>
      </w:r>
    </w:p>
    <w:p>
      <w:pPr>
        <w:keepNext/>
        <w:keepLines/>
        <w:spacing w:before="0" w:after="0" w:line="240" w:lineRule="auto"/>
        <w:ind w:left="259" w:right="115"/>
        <w:shd w:fill="F2F4F7"/>
      </w:pPr>
      <w:r>
        <w:rPr>
          <w:rFonts w:ascii="Consolas" w:hAnsi="Consolas"/>
          <w:color w:val="0B2545"/>
          <w:sz w:val="16"/>
        </w:rPr>
        <w:t xml:space="preserve">    INNER JOIN dbo.Roles r ON ur.RoleId = r.RoleId</w:t>
      </w:r>
    </w:p>
    <w:p>
      <w:pPr>
        <w:keepNext/>
        <w:keepLines/>
        <w:spacing w:before="0" w:after="0" w:line="240" w:lineRule="auto"/>
        <w:ind w:left="259" w:right="115"/>
        <w:shd w:fill="F2F4F7"/>
      </w:pPr>
      <w:r>
        <w:rPr>
          <w:rFonts w:ascii="Consolas" w:hAnsi="Consolas"/>
          <w:color w:val="0B2545"/>
          <w:sz w:val="16"/>
        </w:rPr>
        <w:t xml:space="preserve">    WHERE u.Username = @Username</w:t>
      </w:r>
    </w:p>
    <w:p>
      <w:pPr>
        <w:keepNext/>
        <w:keepLines/>
        <w:spacing w:before="0" w:after="0" w:line="240" w:lineRule="auto"/>
        <w:ind w:left="259" w:right="115"/>
        <w:shd w:fill="F2F4F7"/>
      </w:pPr>
      <w:r>
        <w:rPr>
          <w:rFonts w:ascii="Consolas" w:hAnsi="Consolas"/>
          <w:color w:val="0B2545"/>
          <w:sz w:val="16"/>
        </w:rPr>
        <w:t xml:space="preserve">      AND u.IsActive = 1</w:t>
      </w:r>
    </w:p>
    <w:p>
      <w:pPr>
        <w:keepNext/>
        <w:keepLines/>
        <w:spacing w:before="0" w:after="0" w:line="240" w:lineRule="auto"/>
        <w:ind w:left="259" w:right="115"/>
        <w:shd w:fill="F2F4F7"/>
      </w:pPr>
      <w:r>
        <w:rPr>
          <w:rFonts w:ascii="Consolas" w:hAnsi="Consolas"/>
          <w:color w:val="0B2545"/>
          <w:sz w:val="16"/>
        </w:rPr>
        <w:t xml:space="preserve">      AND r.IsActive = 1;</w:t>
      </w:r>
    </w:p>
    <w:p>
      <w:pPr>
        <w:keepNext w:val="0"/>
        <w:keepLines/>
        <w:spacing w:before="0" w:after="160" w:line="240" w:lineRule="auto"/>
        <w:ind w:left="259" w:right="115"/>
        <w:shd w:fill="F2F4F7"/>
      </w:pPr>
      <w:r>
        <w:rPr>
          <w:rFonts w:ascii="Consolas" w:hAnsi="Consolas"/>
          <w:color w:val="0B2545"/>
          <w:sz w:val="16"/>
        </w:rPr>
        <w:t>END;</w:t>
      </w:r>
    </w:p>
    <w:p>
      <w:pPr>
        <w:keepLines/>
        <w:spacing w:before="100" w:after="180" w:line="276" w:lineRule="auto"/>
        <w:ind w:left="173" w:right="72"/>
        <w:shd w:fill="FFF7E6"/>
        <w:pBdr>
          <w:left w:val="single" w:sz="18" w:space="8" w:color="7A5A00"/>
        </w:pBdr>
      </w:pPr>
      <w:r>
        <w:rPr>
          <w:rFonts w:ascii="Calibri" w:hAnsi="Calibri"/>
          <w:b/>
          <w:color w:val="0B2545"/>
          <w:sz w:val="22"/>
        </w:rPr>
        <w:t xml:space="preserve">Do not switch directly: </w:t>
      </w:r>
      <w:r>
        <w:rPr>
          <w:rFonts w:ascii="Calibri" w:hAnsi="Calibri"/>
          <w:color w:val="344054"/>
          <w:sz w:val="22"/>
        </w:rPr>
        <w:t>The current login requires ClientId and separately resolves role permissions plus UserPermissions.IsGranted overrides. This stored procedure must be updated and regression-tested before it can replace UserRepository.GetUserAsync.</w:t>
      </w:r>
    </w:p>
    <w:p>
      <w:pPr>
        <w:pStyle w:val="Heading2"/>
      </w:pPr>
      <w:r>
        <w:t>dbo.usp_User_UpdateLastLogin</w:t>
      </w:r>
    </w:p>
    <w:p>
      <w:pPr>
        <w:keepNext/>
        <w:keepLines/>
        <w:spacing w:before="100" w:after="0" w:line="240" w:lineRule="auto"/>
        <w:ind w:left="259" w:right="115"/>
        <w:shd w:fill="F2F4F7"/>
        <w:pBdr>
          <w:left w:val="single" w:sz="12" w:space="6" w:color="2E74B5"/>
        </w:pBdr>
      </w:pPr>
      <w:r>
        <w:rPr>
          <w:rFonts w:ascii="Consolas" w:hAnsi="Consolas"/>
          <w:color w:val="0B2545"/>
          <w:sz w:val="16"/>
        </w:rPr>
        <w:t>CREATE PROCEDURE dbo.usp_User_UpdateLastLogin</w:t>
      </w:r>
    </w:p>
    <w:p>
      <w:pPr>
        <w:keepNext/>
        <w:keepLines/>
        <w:spacing w:before="0" w:after="0" w:line="240" w:lineRule="auto"/>
        <w:ind w:left="259" w:right="115"/>
        <w:shd w:fill="F2F4F7"/>
      </w:pPr>
      <w:r>
        <w:rPr>
          <w:rFonts w:ascii="Consolas" w:hAnsi="Consolas"/>
          <w:color w:val="0B2545"/>
          <w:sz w:val="16"/>
        </w:rPr>
        <w:t xml:space="preserve">    @UserId BIGINT</w:t>
      </w:r>
    </w:p>
    <w:p>
      <w:pPr>
        <w:keepNext/>
        <w:keepLines/>
        <w:spacing w:before="0" w:after="0" w:line="240" w:lineRule="auto"/>
        <w:ind w:left="259" w:right="115"/>
        <w:shd w:fill="F2F4F7"/>
      </w:pPr>
      <w:r>
        <w:rPr>
          <w:rFonts w:ascii="Consolas" w:hAnsi="Consolas"/>
          <w:color w:val="0B2545"/>
          <w:sz w:val="16"/>
        </w:rPr>
        <w:t>AS</w:t>
      </w:r>
    </w:p>
    <w:p>
      <w:pPr>
        <w:keepNext/>
        <w:keepLines/>
        <w:spacing w:before="0" w:after="0" w:line="240" w:lineRule="auto"/>
        <w:ind w:left="259" w:right="115"/>
        <w:shd w:fill="F2F4F7"/>
      </w:pPr>
      <w:r>
        <w:rPr>
          <w:rFonts w:ascii="Consolas" w:hAnsi="Consolas"/>
          <w:color w:val="0B2545"/>
          <w:sz w:val="16"/>
        </w:rPr>
        <w:t>BEGIN</w:t>
      </w:r>
    </w:p>
    <w:p>
      <w:pPr>
        <w:keepNext/>
        <w:keepLines/>
        <w:spacing w:before="0" w:after="0" w:line="240" w:lineRule="auto"/>
        <w:ind w:left="259" w:right="115"/>
        <w:shd w:fill="F2F4F7"/>
      </w:pPr>
      <w:r>
        <w:rPr>
          <w:rFonts w:ascii="Consolas" w:hAnsi="Consolas"/>
          <w:color w:val="0B2545"/>
          <w:sz w:val="16"/>
        </w:rPr>
        <w:t xml:space="preserve">    SET NOCOUNT ON;</w:t>
      </w:r>
    </w:p>
    <w:p>
      <w:pPr>
        <w:keepNext/>
        <w:keepLines/>
        <w:spacing w:before="0" w:after="0" w:line="240" w:lineRule="auto"/>
        <w:ind w:left="259" w:right="115"/>
        <w:shd w:fill="F2F4F7"/>
      </w:pPr>
      <w:r>
        <w:rPr>
          <w:rFonts w:ascii="Consolas" w:hAnsi="Consolas"/>
          <w:color w:val="0B2545"/>
          <w:sz w:val="16"/>
        </w:rPr>
        <w:t xml:space="preserve">    UPDATE dbo.Users</w:t>
      </w:r>
    </w:p>
    <w:p>
      <w:pPr>
        <w:keepNext/>
        <w:keepLines/>
        <w:spacing w:before="0" w:after="0" w:line="240" w:lineRule="auto"/>
        <w:ind w:left="259" w:right="115"/>
        <w:shd w:fill="F2F4F7"/>
      </w:pPr>
      <w:r>
        <w:rPr>
          <w:rFonts w:ascii="Consolas" w:hAnsi="Consolas"/>
          <w:color w:val="0B2545"/>
          <w:sz w:val="16"/>
        </w:rPr>
        <w:t xml:space="preserve">    SET LastLoginDate = GETDATE()</w:t>
      </w:r>
    </w:p>
    <w:p>
      <w:pPr>
        <w:keepNext/>
        <w:keepLines/>
        <w:spacing w:before="0" w:after="0" w:line="240" w:lineRule="auto"/>
        <w:ind w:left="259" w:right="115"/>
        <w:shd w:fill="F2F4F7"/>
      </w:pPr>
      <w:r>
        <w:rPr>
          <w:rFonts w:ascii="Consolas" w:hAnsi="Consolas"/>
          <w:color w:val="0B2545"/>
          <w:sz w:val="16"/>
        </w:rPr>
        <w:t xml:space="preserve">    WHERE UserId = @UserId;</w:t>
      </w:r>
    </w:p>
    <w:p>
      <w:pPr>
        <w:keepNext w:val="0"/>
        <w:keepLines/>
        <w:spacing w:before="0" w:after="160" w:line="240" w:lineRule="auto"/>
        <w:ind w:left="259" w:right="115"/>
        <w:shd w:fill="F2F4F7"/>
      </w:pPr>
      <w:r>
        <w:rPr>
          <w:rFonts w:ascii="Consolas" w:hAnsi="Consolas"/>
          <w:color w:val="0B2545"/>
          <w:sz w:val="16"/>
        </w:rPr>
        <w:t>END;</w:t>
      </w:r>
    </w:p>
    <w:p>
      <w:pPr>
        <w:keepLines w:val="0"/>
        <w:spacing w:after="120"/>
      </w:pPr>
      <w:r>
        <w:rPr>
          <w:rFonts w:ascii="Calibri" w:hAnsi="Calibri"/>
          <w:i w:val="0"/>
          <w:color w:val="000000"/>
          <w:sz w:val="22"/>
        </w:rPr>
        <w:t>The active repository uses SYSUTCDATETIME for consistent audit time. If this procedure is retained, change GETDATE to SYSUTCDATETIME and add error/row-count handling.</w:t>
      </w:r>
    </w:p>
    <w:p>
      <w:r>
        <w:br w:type="page"/>
      </w:r>
    </w:p>
    <w:p>
      <w:pPr>
        <w:pStyle w:val="Heading2"/>
      </w:pPr>
      <w:r>
        <w:t>Stored procedure recommendation</w:t>
      </w:r>
    </w:p>
    <w:p>
      <w:pPr>
        <w:keepLines w:val="0"/>
        <w:spacing w:after="120"/>
      </w:pPr>
      <w:r>
        <w:rPr>
          <w:rFonts w:ascii="Calibri" w:hAnsi="Calibri"/>
          <w:i w:val="0"/>
          <w:color w:val="000000"/>
          <w:sz w:val="22"/>
        </w:rPr>
        <w:t>Do not move the explainable risk engine into a large stored procedure. Keep business decisions in AmlWorkflowService where they are versionable and testable. Stored procedures are most useful later for stable reporting queries, bulk watchlist import staging, audit export and operational maintenance.</w:t>
      </w:r>
    </w:p>
    <w:p>
      <w:pPr>
        <w:pStyle w:val="ListBullet"/>
        <w:keepLines/>
        <w:spacing w:after="80" w:line="300" w:lineRule="auto"/>
      </w:pPr>
      <w:r>
        <w:rPr>
          <w:rFonts w:ascii="Calibri" w:hAnsi="Calibri"/>
          <w:color w:val="000000"/>
          <w:sz w:val="22"/>
        </w:rPr>
        <w:t>usp_AmlRecords_BulkImportFromStaging - validate and merge approved list versions.</w:t>
      </w:r>
    </w:p>
    <w:p>
      <w:pPr>
        <w:pStyle w:val="ListBullet"/>
        <w:keepLines/>
        <w:spacing w:after="80" w:line="300" w:lineRule="auto"/>
      </w:pPr>
      <w:r>
        <w:rPr>
          <w:rFonts w:ascii="Calibri" w:hAnsi="Calibri"/>
          <w:color w:val="000000"/>
          <w:sz w:val="22"/>
        </w:rPr>
        <w:t>usp_ComplianceDashboard_GetSummary - aggregate high-volume dashboard metrics.</w:t>
      </w:r>
    </w:p>
    <w:p>
      <w:pPr>
        <w:pStyle w:val="ListBullet"/>
        <w:keepLines/>
        <w:spacing w:after="80" w:line="300" w:lineRule="auto"/>
      </w:pPr>
      <w:r>
        <w:rPr>
          <w:rFonts w:ascii="Calibri" w:hAnsi="Calibri"/>
          <w:color w:val="000000"/>
          <w:sz w:val="22"/>
        </w:rPr>
        <w:t>usp_AuditLogs_GetPage - stable server-side audit paging for large history.</w:t>
      </w:r>
    </w:p>
    <w:p>
      <w:pPr>
        <w:pStyle w:val="ListBullet"/>
        <w:keepLines/>
        <w:spacing w:after="80" w:line="300" w:lineRule="auto"/>
      </w:pPr>
      <w:r>
        <w:rPr>
          <w:rFonts w:ascii="Calibri" w:hAnsi="Calibri"/>
          <w:color w:val="000000"/>
          <w:sz w:val="22"/>
        </w:rPr>
        <w:t>usp_TransactionMonitoring_GetVelocityFacts - optional optimized feature query, while keeping final decision logic in C#.</w:t>
      </w:r>
    </w:p>
    <w:p>
      <w:pPr>
        <w:pStyle w:val="Heading1"/>
      </w:pPr>
      <w:r>
        <w:t>9. Data access, audit, soft delete and concurrency</w:t>
      </w:r>
    </w:p>
    <w:tbl>
      <w:tblPr>
        <w:tblStyle w:val="TableGrid"/>
        <w:tblW w:type="dxa" w:w="9360"/>
        <w:jc w:val="left"/>
        <w:tblLayout w:type="fixed"/>
        <w:tblLook w:firstColumn="1" w:firstRow="1" w:lastColumn="0" w:lastRow="0" w:noHBand="0" w:noVBand="1" w:val="04A0"/>
        <w:tblInd w:w="120" w:type="dxa"/>
      </w:tblPr>
      <w:tblGrid>
        <w:gridCol w:w="2500"/>
        <w:gridCol w:w="1900"/>
        <w:gridCol w:w="4960"/>
      </w:tblGrid>
      <w:tr>
        <w:trPr>
          <w:tblHeader w:val="true"/>
          <w:cantSplit/>
        </w:trPr>
        <w:tc>
          <w:tcPr>
            <w:tcW w:type="dxa" w:w="2500"/>
            <w:shd w:fill="E8EEF5"/>
            <w:vAlign w:val="center"/>
            <w:tcMar>
              <w:top w:w="80" w:type="dxa"/>
              <w:start w:w="120" w:type="dxa"/>
              <w:bottom w:w="80" w:type="dxa"/>
              <w:end w:w="120" w:type="dxa"/>
            </w:tcMar>
          </w:tcPr>
          <w:p>
            <w:pPr>
              <w:spacing w:after="0"/>
              <w:jc w:val="left"/>
            </w:pPr>
            <w:r>
              <w:rPr>
                <w:rFonts w:ascii="Calibri" w:hAnsi="Calibri"/>
                <w:b/>
                <w:color w:val="0B2545"/>
                <w:sz w:val="17"/>
              </w:rPr>
              <w:t>Component</w:t>
            </w:r>
          </w:p>
        </w:tc>
        <w:tc>
          <w:tcPr>
            <w:tcW w:type="dxa" w:w="1900"/>
            <w:shd w:fill="E8EEF5"/>
            <w:vAlign w:val="center"/>
            <w:tcMar>
              <w:top w:w="80" w:type="dxa"/>
              <w:start w:w="120" w:type="dxa"/>
              <w:bottom w:w="80" w:type="dxa"/>
              <w:end w:w="120" w:type="dxa"/>
            </w:tcMar>
          </w:tcPr>
          <w:p>
            <w:pPr>
              <w:spacing w:after="0"/>
              <w:jc w:val="left"/>
            </w:pPr>
            <w:r>
              <w:rPr>
                <w:rFonts w:ascii="Calibri" w:hAnsi="Calibri"/>
                <w:b/>
                <w:color w:val="0B2545"/>
                <w:sz w:val="17"/>
              </w:rPr>
              <w:t>Technology</w:t>
            </w:r>
          </w:p>
        </w:tc>
        <w:tc>
          <w:tcPr>
            <w:tcW w:type="dxa" w:w="4960"/>
            <w:shd w:fill="E8EEF5"/>
            <w:vAlign w:val="center"/>
            <w:tcMar>
              <w:top w:w="80" w:type="dxa"/>
              <w:start w:w="120" w:type="dxa"/>
              <w:bottom w:w="80" w:type="dxa"/>
              <w:end w:w="120" w:type="dxa"/>
            </w:tcMar>
          </w:tcPr>
          <w:p>
            <w:pPr>
              <w:spacing w:after="0"/>
              <w:jc w:val="left"/>
            </w:pPr>
            <w:r>
              <w:rPr>
                <w:rFonts w:ascii="Calibri" w:hAnsi="Calibri"/>
                <w:b/>
                <w:color w:val="0B2545"/>
                <w:sz w:val="17"/>
              </w:rPr>
              <w:t>Responsibility</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AmlRecordRepository</w:t>
            </w:r>
          </w:p>
        </w:tc>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EF Core</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Paging, ownership scope, create/edit/soft delete, concurrency and transactional audit.</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AmlWorkflowService</w:t>
            </w:r>
          </w:p>
        </w:tc>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EF Core</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Customer, transaction, screening, risk, decision, alert and case workflow.</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ComplianceRuleRepository</w:t>
            </w:r>
          </w:p>
        </w:tc>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EF Core</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Client-scoped rule CRUD, soft delete and audit.</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UserRepository</w:t>
            </w:r>
          </w:p>
        </w:tc>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Dapper inline SQL</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Login user, permission resolution, users, roles and per-user access.</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RoleRepository</w:t>
            </w:r>
          </w:p>
        </w:tc>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Dapper inline SQL</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Role listing, creation and permission assignment.</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SubscriptionRepository</w:t>
            </w:r>
          </w:p>
        </w:tc>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Dapper inline SQL</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Plan paging, CRUD, soft delete, row-version checks and audit.</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MenuService</w:t>
            </w:r>
          </w:p>
        </w:tc>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Dapper inline SQL</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Loads active database menu items and filters them against user claims.</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AuditService</w:t>
            </w:r>
          </w:p>
        </w:tc>
        <w:tc>
          <w:tcPr>
            <w:tcW w:type="dxa" w:w="1900"/>
            <w:vAlign w:val="center"/>
            <w:tcMar>
              <w:top w:w="80" w:type="dxa"/>
              <w:start w:w="120" w:type="dxa"/>
              <w:bottom w:w="80" w:type="dxa"/>
              <w:end w:w="120" w:type="dxa"/>
            </w:tcMar>
          </w:tcPr>
          <w:p>
            <w:pPr>
              <w:spacing w:after="0" w:line="259" w:lineRule="auto"/>
            </w:pPr>
            <w:r>
              <w:rPr>
                <w:rFonts w:ascii="Calibri" w:hAnsi="Calibri"/>
                <w:color w:val="344054"/>
                <w:sz w:val="17"/>
              </w:rPr>
              <w:t>Dapper inline SQL</w:t>
            </w:r>
          </w:p>
        </w:tc>
        <w:tc>
          <w:tcPr>
            <w:tcW w:type="dxa" w:w="4960"/>
            <w:vAlign w:val="center"/>
            <w:tcMar>
              <w:top w:w="80" w:type="dxa"/>
              <w:start w:w="120" w:type="dxa"/>
              <w:bottom w:w="80" w:type="dxa"/>
              <w:end w:w="120" w:type="dxa"/>
            </w:tcMar>
          </w:tcPr>
          <w:p>
            <w:pPr>
              <w:spacing w:after="0" w:line="259" w:lineRule="auto"/>
            </w:pPr>
            <w:r>
              <w:rPr>
                <w:rFonts w:ascii="Calibri" w:hAnsi="Calibri"/>
                <w:color w:val="344054"/>
                <w:sz w:val="17"/>
              </w:rPr>
              <w:t>Writes and reads client-scoped audit events.</w:t>
            </w:r>
          </w:p>
        </w:tc>
      </w:tr>
    </w:tbl>
    <w:p>
      <w:pPr>
        <w:spacing w:before="80" w:after="80"/>
      </w:pPr>
    </w:p>
    <w:p>
      <w:pPr>
        <w:pStyle w:val="Heading2"/>
      </w:pPr>
      <w:r>
        <w:t>Transaction boundaries</w:t>
      </w:r>
    </w:p>
    <w:p>
      <w:pPr>
        <w:keepLines w:val="0"/>
        <w:spacing w:after="120"/>
      </w:pPr>
      <w:r>
        <w:rPr>
          <w:rFonts w:ascii="Calibri" w:hAnsi="Calibri"/>
          <w:i w:val="0"/>
          <w:color w:val="000000"/>
          <w:sz w:val="22"/>
        </w:rPr>
        <w:t>Create, update and delete operations that also write audit evidence use database transactions in the EF Core repositories/services. Either both the business change and audit event commit, or the operation rolls back. The login audit is deliberately best-effort so an audit storage problem does not reject valid credentials.</w:t>
      </w:r>
    </w:p>
    <w:p>
      <w:pPr>
        <w:pStyle w:val="Heading2"/>
      </w:pPr>
      <w:r>
        <w:t>Soft delete</w:t>
      </w:r>
    </w:p>
    <w:p>
      <w:pPr>
        <w:keepNext/>
        <w:keepLines/>
        <w:spacing w:before="100" w:after="0" w:line="240" w:lineRule="auto"/>
        <w:ind w:left="259" w:right="115"/>
        <w:shd w:fill="F2F4F7"/>
        <w:pBdr>
          <w:left w:val="single" w:sz="12" w:space="6" w:color="2E74B5"/>
        </w:pBdr>
      </w:pPr>
      <w:r>
        <w:rPr>
          <w:rFonts w:ascii="Consolas" w:hAnsi="Consolas"/>
          <w:color w:val="0B2545"/>
          <w:sz w:val="16"/>
        </w:rPr>
        <w:t>DeleteFg   = 'Y'</w:t>
      </w:r>
    </w:p>
    <w:p>
      <w:pPr>
        <w:keepNext/>
        <w:keepLines/>
        <w:spacing w:before="0" w:after="0" w:line="240" w:lineRule="auto"/>
        <w:ind w:left="259" w:right="115"/>
        <w:shd w:fill="F2F4F7"/>
      </w:pPr>
      <w:r>
        <w:rPr>
          <w:rFonts w:ascii="Consolas" w:hAnsi="Consolas"/>
          <w:color w:val="0B2545"/>
          <w:sz w:val="16"/>
        </w:rPr>
        <w:t>DeleteDate = current UTC date/time</w:t>
      </w:r>
    </w:p>
    <w:p>
      <w:pPr>
        <w:keepNext/>
        <w:keepLines/>
        <w:spacing w:before="0" w:after="0" w:line="240" w:lineRule="auto"/>
        <w:ind w:left="259" w:right="115"/>
        <w:shd w:fill="F2F4F7"/>
      </w:pPr>
      <w:r>
        <w:rPr>
          <w:rFonts w:ascii="Consolas" w:hAnsi="Consolas"/>
          <w:color w:val="0B2545"/>
          <w:sz w:val="16"/>
        </w:rPr>
        <w:t>DeleteBy   = logged-in username</w:t>
      </w:r>
    </w:p>
    <w:p>
      <w:pPr>
        <w:keepNext w:val="0"/>
        <w:keepLines/>
        <w:spacing w:before="0" w:after="160" w:line="240" w:lineRule="auto"/>
        <w:ind w:left="259" w:right="115"/>
        <w:shd w:fill="F2F4F7"/>
      </w:pPr>
      <w:r>
        <w:rPr>
          <w:rFonts w:ascii="Consolas" w:hAnsi="Consolas"/>
          <w:color w:val="0B2545"/>
          <w:sz w:val="16"/>
        </w:rPr>
        <w:t>IsActive   = false where the entity has an active flag</w:t>
      </w:r>
    </w:p>
    <w:p>
      <w:pPr>
        <w:keepLines w:val="0"/>
        <w:spacing w:after="120"/>
      </w:pPr>
      <w:r>
        <w:rPr>
          <w:rFonts w:ascii="Calibri" w:hAnsi="Calibri"/>
          <w:i w:val="0"/>
          <w:color w:val="000000"/>
          <w:sz w:val="22"/>
        </w:rPr>
        <w:t>Soft deletion preserves evidence. EF Core query filters hide deleted mapped records. SQL/Dapper queries must explicitly include DeleteFg = 'N' where applicable.</w:t>
      </w:r>
    </w:p>
    <w:p>
      <w:pPr>
        <w:pStyle w:val="Heading2"/>
      </w:pPr>
      <w:r>
        <w:t>Optimistic concurrency</w:t>
      </w:r>
    </w:p>
    <w:p>
      <w:pPr>
        <w:keepLines w:val="0"/>
        <w:spacing w:after="120"/>
      </w:pPr>
      <w:r>
        <w:rPr>
          <w:rFonts w:ascii="Calibri" w:hAnsi="Calibri"/>
          <w:i w:val="0"/>
          <w:color w:val="000000"/>
          <w:sz w:val="22"/>
        </w:rPr>
        <w:t>RowVersion changes automatically whenever SQL Server updates a row. Edit forms return the original RowVersion. If another user has updated the record first, the update is rejected and the user receives a conflict message instead of silently overwriting newer data.</w:t>
      </w:r>
    </w:p>
    <w:p>
      <w:pPr>
        <w:pStyle w:val="Heading1"/>
      </w:pPr>
      <w:r>
        <w:t>10. Permissions and access-control matrix</w:t>
      </w:r>
    </w:p>
    <w:tbl>
      <w:tblPr>
        <w:tblStyle w:val="TableGrid"/>
        <w:tblW w:type="dxa" w:w="9360"/>
        <w:jc w:val="left"/>
        <w:tblLayout w:type="fixed"/>
        <w:tblLook w:firstColumn="1" w:firstRow="1" w:lastColumn="0" w:lastRow="0" w:noHBand="0" w:noVBand="1" w:val="04A0"/>
        <w:tblInd w:w="120" w:type="dxa"/>
      </w:tblPr>
      <w:tblGrid>
        <w:gridCol w:w="2500"/>
        <w:gridCol w:w="2900"/>
        <w:gridCol w:w="3960"/>
      </w:tblGrid>
      <w:tr>
        <w:trPr>
          <w:tblHeader w:val="true"/>
          <w:cantSplit/>
        </w:trPr>
        <w:tc>
          <w:tcPr>
            <w:tcW w:type="dxa" w:w="2500"/>
            <w:shd w:fill="E8EEF5"/>
            <w:vAlign w:val="center"/>
            <w:tcMar>
              <w:top w:w="80" w:type="dxa"/>
              <w:start w:w="120" w:type="dxa"/>
              <w:bottom w:w="80" w:type="dxa"/>
              <w:end w:w="120" w:type="dxa"/>
            </w:tcMar>
          </w:tcPr>
          <w:p>
            <w:pPr>
              <w:spacing w:after="0"/>
              <w:jc w:val="left"/>
            </w:pPr>
            <w:r>
              <w:rPr>
                <w:rFonts w:ascii="Calibri" w:hAnsi="Calibri"/>
                <w:b/>
                <w:color w:val="0B2545"/>
                <w:sz w:val="17"/>
              </w:rPr>
              <w:t>Menu</w:t>
            </w:r>
          </w:p>
        </w:tc>
        <w:tc>
          <w:tcPr>
            <w:tcW w:type="dxa" w:w="2900"/>
            <w:shd w:fill="E8EEF5"/>
            <w:vAlign w:val="center"/>
            <w:tcMar>
              <w:top w:w="80" w:type="dxa"/>
              <w:start w:w="120" w:type="dxa"/>
              <w:bottom w:w="80" w:type="dxa"/>
              <w:end w:w="120" w:type="dxa"/>
            </w:tcMar>
          </w:tcPr>
          <w:p>
            <w:pPr>
              <w:spacing w:after="0"/>
              <w:jc w:val="left"/>
            </w:pPr>
            <w:r>
              <w:rPr>
                <w:rFonts w:ascii="Calibri" w:hAnsi="Calibri"/>
                <w:b/>
                <w:color w:val="0B2545"/>
                <w:sz w:val="17"/>
              </w:rPr>
              <w:t>Visibility permission</w:t>
            </w:r>
          </w:p>
        </w:tc>
        <w:tc>
          <w:tcPr>
            <w:tcW w:type="dxa" w:w="3960"/>
            <w:shd w:fill="E8EEF5"/>
            <w:vAlign w:val="center"/>
            <w:tcMar>
              <w:top w:w="80" w:type="dxa"/>
              <w:start w:w="120" w:type="dxa"/>
              <w:bottom w:w="80" w:type="dxa"/>
              <w:end w:w="120" w:type="dxa"/>
            </w:tcMar>
          </w:tcPr>
          <w:p>
            <w:pPr>
              <w:spacing w:after="0"/>
              <w:jc w:val="left"/>
            </w:pPr>
            <w:r>
              <w:rPr>
                <w:rFonts w:ascii="Calibri" w:hAnsi="Calibri"/>
                <w:b/>
                <w:color w:val="0B2545"/>
                <w:sz w:val="17"/>
              </w:rPr>
              <w:t>Additional control</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Dashboard</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Authenticated</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View summary</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AML Records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AMLRecords.View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Create/Edit/Delete and ViewClient/ViewAll are separate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Users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Users.View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Create requires Users.Create; access editing requires Roles.Manage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Roles &amp; Permissions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Roles.Manage</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Create roles and assign permissions</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Subscription</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Subscription.View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Create/Edit/Delete are separate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Customers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Customers.View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Create/Edit/Delete are separate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Transactions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Transactions.View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Create and Evaluate are separate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Threshold Rules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ComplianceRules.View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Create/Edit/Delete are separate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Alerts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Alerts.View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Assignment/resolution requires Alerts.Manage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Cases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Cases.View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Investigation updates require Cases.Manage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Audit Logs</w:t>
            </w:r>
          </w:p>
        </w:tc>
        <w:tc>
          <w:tcPr>
            <w:tcW w:type="dxa" w:w="2900"/>
            <w:vAlign w:val="center"/>
            <w:tcMar>
              <w:top w:w="80" w:type="dxa"/>
              <w:start w:w="120" w:type="dxa"/>
              <w:bottom w:w="80" w:type="dxa"/>
              <w:end w:w="120" w:type="dxa"/>
            </w:tcMar>
          </w:tcPr>
          <w:p>
            <w:pPr>
              <w:spacing w:after="0" w:line="259" w:lineRule="auto"/>
            </w:pPr>
            <w:r>
              <w:rPr>
                <w:rFonts w:ascii="Calibri" w:hAnsi="Calibri"/>
                <w:color w:val="344054"/>
                <w:sz w:val="17"/>
              </w:rPr>
              <w:t>AuditLogs.View</w:t>
            </w:r>
          </w:p>
        </w:tc>
        <w:tc>
          <w:tcPr>
            <w:tcW w:type="dxa" w:w="3960"/>
            <w:vAlign w:val="center"/>
            <w:tcMar>
              <w:top w:w="80" w:type="dxa"/>
              <w:start w:w="120" w:type="dxa"/>
              <w:bottom w:w="80" w:type="dxa"/>
              <w:end w:w="120" w:type="dxa"/>
            </w:tcMar>
          </w:tcPr>
          <w:p>
            <w:pPr>
              <w:spacing w:after="0" w:line="259" w:lineRule="auto"/>
            </w:pPr>
            <w:r>
              <w:rPr>
                <w:rFonts w:ascii="Calibri" w:hAnsi="Calibri"/>
                <w:color w:val="344054"/>
                <w:sz w:val="17"/>
              </w:rPr>
              <w:t>Read-only audit access</w:t>
            </w:r>
          </w:p>
        </w:tc>
      </w:tr>
    </w:tbl>
    <w:p>
      <w:pPr>
        <w:spacing w:before="80" w:after="80"/>
      </w:pPr>
    </w:p>
    <w:p>
      <w:r>
        <w:br w:type="page"/>
      </w:r>
    </w:p>
    <w:p>
      <w:pPr>
        <w:pStyle w:val="Heading2"/>
      </w:pPr>
      <w:r>
        <w:t>Recommended role model</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80" w:type="dxa"/>
              <w:start w:w="120" w:type="dxa"/>
              <w:bottom w:w="80" w:type="dxa"/>
              <w:end w:w="120" w:type="dxa"/>
            </w:tcMar>
          </w:tcPr>
          <w:p>
            <w:pPr>
              <w:spacing w:after="0"/>
              <w:jc w:val="left"/>
            </w:pPr>
            <w:r>
              <w:rPr>
                <w:rFonts w:ascii="Calibri" w:hAnsi="Calibri"/>
                <w:b/>
                <w:color w:val="0B2545"/>
                <w:sz w:val="18"/>
              </w:rPr>
              <w:t>Role</w:t>
            </w:r>
          </w:p>
        </w:tc>
        <w:tc>
          <w:tcPr>
            <w:tcW w:type="dxa" w:w="6860"/>
            <w:shd w:fill="E8EEF5"/>
            <w:vAlign w:val="center"/>
            <w:tcMar>
              <w:top w:w="80" w:type="dxa"/>
              <w:start w:w="120" w:type="dxa"/>
              <w:bottom w:w="80" w:type="dxa"/>
              <w:end w:w="120" w:type="dxa"/>
            </w:tcMar>
          </w:tcPr>
          <w:p>
            <w:pPr>
              <w:spacing w:after="0"/>
              <w:jc w:val="left"/>
            </w:pPr>
            <w:r>
              <w:rPr>
                <w:rFonts w:ascii="Calibri" w:hAnsi="Calibri"/>
                <w:b/>
                <w:color w:val="0B2545"/>
                <w:sz w:val="18"/>
              </w:rPr>
              <w:t>Recommended access</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8"/>
              </w:rPr>
              <w:t>Platform Admin</w:t>
            </w:r>
          </w:p>
        </w:tc>
        <w:tc>
          <w:tcPr>
            <w:tcW w:type="dxa" w:w="6860"/>
            <w:vAlign w:val="center"/>
            <w:tcMar>
              <w:top w:w="80" w:type="dxa"/>
              <w:start w:w="120" w:type="dxa"/>
              <w:bottom w:w="80" w:type="dxa"/>
              <w:end w:w="120" w:type="dxa"/>
            </w:tcMar>
          </w:tcPr>
          <w:p>
            <w:pPr>
              <w:spacing w:after="0" w:line="259" w:lineRule="auto"/>
            </w:pPr>
            <w:r>
              <w:rPr>
                <w:rFonts w:ascii="Calibri" w:hAnsi="Calibri"/>
                <w:color w:val="344054"/>
                <w:sz w:val="18"/>
              </w:rPr>
              <w:t>All permissions including AMLRecords.ViewAll; restrict to trusted platform operators.</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8"/>
              </w:rPr>
              <w:t>Client Admin</w:t>
            </w:r>
          </w:p>
        </w:tc>
        <w:tc>
          <w:tcPr>
            <w:tcW w:type="dxa" w:w="6860"/>
            <w:vAlign w:val="center"/>
            <w:tcMar>
              <w:top w:w="80" w:type="dxa"/>
              <w:start w:w="120" w:type="dxa"/>
              <w:bottom w:w="80" w:type="dxa"/>
              <w:end w:w="120" w:type="dxa"/>
            </w:tcMar>
          </w:tcPr>
          <w:p>
            <w:pPr>
              <w:spacing w:after="0" w:line="259" w:lineRule="auto"/>
            </w:pPr>
            <w:r>
              <w:rPr>
                <w:rFonts w:ascii="Calibri" w:hAnsi="Calibri"/>
                <w:color w:val="344054"/>
                <w:sz w:val="18"/>
              </w:rPr>
              <w:t>Users, roles, client-wide AML records, customer/transaction/rule/alert/case management, but no cross-client permission.</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8"/>
              </w:rPr>
              <w:t>AML Analyst</w:t>
            </w:r>
          </w:p>
        </w:tc>
        <w:tc>
          <w:tcPr>
            <w:tcW w:type="dxa" w:w="6860"/>
            <w:vAlign w:val="center"/>
            <w:tcMar>
              <w:top w:w="80" w:type="dxa"/>
              <w:start w:w="120" w:type="dxa"/>
              <w:bottom w:w="80" w:type="dxa"/>
              <w:end w:w="120" w:type="dxa"/>
            </w:tcMar>
          </w:tcPr>
          <w:p>
            <w:pPr>
              <w:spacing w:after="0" w:line="259" w:lineRule="auto"/>
            </w:pPr>
            <w:r>
              <w:rPr>
                <w:rFonts w:ascii="Calibri" w:hAnsi="Calibri"/>
                <w:color w:val="344054"/>
                <w:sz w:val="18"/>
              </w:rPr>
              <w:t>Client-wide AML view, customer/transaction evaluation, alerts and cases; no user/role administration.</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8"/>
              </w:rPr>
              <w:t>Data Maintainer</w:t>
            </w:r>
          </w:p>
        </w:tc>
        <w:tc>
          <w:tcPr>
            <w:tcW w:type="dxa" w:w="6860"/>
            <w:vAlign w:val="center"/>
            <w:tcMar>
              <w:top w:w="80" w:type="dxa"/>
              <w:start w:w="120" w:type="dxa"/>
              <w:bottom w:w="80" w:type="dxa"/>
              <w:end w:w="120" w:type="dxa"/>
            </w:tcMar>
          </w:tcPr>
          <w:p>
            <w:pPr>
              <w:spacing w:after="0" w:line="259" w:lineRule="auto"/>
            </w:pPr>
            <w:r>
              <w:rPr>
                <w:rFonts w:ascii="Calibri" w:hAnsi="Calibri"/>
                <w:color w:val="344054"/>
                <w:sz w:val="18"/>
              </w:rPr>
              <w:t>AML list create/edit and optional delete; no case or user administration.</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8"/>
              </w:rPr>
              <w:t>Viewer/Auditor</w:t>
            </w:r>
          </w:p>
        </w:tc>
        <w:tc>
          <w:tcPr>
            <w:tcW w:type="dxa" w:w="6860"/>
            <w:vAlign w:val="center"/>
            <w:tcMar>
              <w:top w:w="80" w:type="dxa"/>
              <w:start w:w="120" w:type="dxa"/>
              <w:bottom w:w="80" w:type="dxa"/>
              <w:end w:w="120" w:type="dxa"/>
            </w:tcMar>
          </w:tcPr>
          <w:p>
            <w:pPr>
              <w:spacing w:after="0" w:line="259" w:lineRule="auto"/>
            </w:pPr>
            <w:r>
              <w:rPr>
                <w:rFonts w:ascii="Calibri" w:hAnsi="Calibri"/>
                <w:color w:val="344054"/>
                <w:sz w:val="18"/>
              </w:rPr>
              <w:t>Read-only menus required for review; no create/edit/delete/manage permissions.</w:t>
            </w:r>
          </w:p>
        </w:tc>
      </w:tr>
    </w:tbl>
    <w:p>
      <w:pPr>
        <w:spacing w:before="80" w:after="80"/>
      </w:pPr>
    </w:p>
    <w:p>
      <w:pPr>
        <w:pStyle w:val="Heading1"/>
      </w:pPr>
      <w:r>
        <w:t>11. Configuration, migration, UAT and production guidance</w:t>
      </w:r>
    </w:p>
    <w:p>
      <w:pPr>
        <w:pStyle w:val="Heading2"/>
      </w:pPr>
      <w:r>
        <w:t>Configuration</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vAlign w:val="center"/>
            <w:tcMar>
              <w:top w:w="80" w:type="dxa"/>
              <w:start w:w="120" w:type="dxa"/>
              <w:bottom w:w="80" w:type="dxa"/>
              <w:end w:w="120" w:type="dxa"/>
            </w:tcMar>
          </w:tcPr>
          <w:p>
            <w:pPr>
              <w:spacing w:after="0"/>
              <w:jc w:val="left"/>
            </w:pPr>
            <w:r>
              <w:rPr>
                <w:rFonts w:ascii="Calibri" w:hAnsi="Calibri"/>
                <w:b/>
                <w:color w:val="0B2545"/>
                <w:sz w:val="18"/>
              </w:rPr>
              <w:t>Setting</w:t>
            </w:r>
          </w:p>
        </w:tc>
        <w:tc>
          <w:tcPr>
            <w:tcW w:type="dxa" w:w="6060"/>
            <w:shd w:fill="E8EEF5"/>
            <w:vAlign w:val="center"/>
            <w:tcMar>
              <w:top w:w="80" w:type="dxa"/>
              <w:start w:w="120" w:type="dxa"/>
              <w:bottom w:w="80" w:type="dxa"/>
              <w:end w:w="120" w:type="dxa"/>
            </w:tcMar>
          </w:tcPr>
          <w:p>
            <w:pPr>
              <w:spacing w:after="0"/>
              <w:jc w:val="left"/>
            </w:pPr>
            <w:r>
              <w:rPr>
                <w:rFonts w:ascii="Calibri" w:hAnsi="Calibri"/>
                <w:b/>
                <w:color w:val="0B2545"/>
                <w:sz w:val="18"/>
              </w:rPr>
              <w:t>Use</w:t>
            </w:r>
          </w:p>
        </w:tc>
      </w:tr>
      <w:tr>
        <w:trPr>
          <w:cantSplit/>
        </w:trPr>
        <w:tc>
          <w:tcPr>
            <w:tcW w:type="dxa" w:w="3300"/>
            <w:vAlign w:val="center"/>
            <w:tcMar>
              <w:top w:w="80" w:type="dxa"/>
              <w:start w:w="120" w:type="dxa"/>
              <w:bottom w:w="80" w:type="dxa"/>
              <w:end w:w="120" w:type="dxa"/>
            </w:tcMar>
          </w:tcPr>
          <w:p>
            <w:pPr>
              <w:spacing w:after="0" w:line="259" w:lineRule="auto"/>
            </w:pPr>
            <w:r>
              <w:rPr>
                <w:rFonts w:ascii="Calibri" w:hAnsi="Calibri"/>
                <w:color w:val="344054"/>
                <w:sz w:val="18"/>
              </w:rPr>
              <w:t>ConnectionStrings:AMLDatabase</w:t>
            </w:r>
          </w:p>
        </w:tc>
        <w:tc>
          <w:tcPr>
            <w:tcW w:type="dxa" w:w="6060"/>
            <w:vAlign w:val="center"/>
            <w:tcMar>
              <w:top w:w="80" w:type="dxa"/>
              <w:start w:w="120" w:type="dxa"/>
              <w:bottom w:w="80" w:type="dxa"/>
              <w:end w:w="120" w:type="dxa"/>
            </w:tcMar>
          </w:tcPr>
          <w:p>
            <w:pPr>
              <w:spacing w:after="0" w:line="259" w:lineRule="auto"/>
            </w:pPr>
            <w:r>
              <w:rPr>
                <w:rFonts w:ascii="Calibri" w:hAnsi="Calibri"/>
                <w:color w:val="344054"/>
                <w:sz w:val="18"/>
              </w:rPr>
              <w:t>SQL Server connection. Use a secret store outside Development.</w:t>
            </w:r>
          </w:p>
        </w:tc>
      </w:tr>
      <w:tr>
        <w:trPr>
          <w:cantSplit/>
        </w:trPr>
        <w:tc>
          <w:tcPr>
            <w:tcW w:type="dxa" w:w="3300"/>
            <w:vAlign w:val="center"/>
            <w:tcMar>
              <w:top w:w="80" w:type="dxa"/>
              <w:start w:w="120" w:type="dxa"/>
              <w:bottom w:w="80" w:type="dxa"/>
              <w:end w:w="120" w:type="dxa"/>
            </w:tcMar>
          </w:tcPr>
          <w:p>
            <w:pPr>
              <w:spacing w:after="0" w:line="259" w:lineRule="auto"/>
            </w:pPr>
            <w:r>
              <w:rPr>
                <w:rFonts w:ascii="Calibri" w:hAnsi="Calibri"/>
                <w:color w:val="344054"/>
                <w:sz w:val="18"/>
              </w:rPr>
              <w:t>AllowedHosts</w:t>
            </w:r>
          </w:p>
        </w:tc>
        <w:tc>
          <w:tcPr>
            <w:tcW w:type="dxa" w:w="6060"/>
            <w:vAlign w:val="center"/>
            <w:tcMar>
              <w:top w:w="80" w:type="dxa"/>
              <w:start w:w="120" w:type="dxa"/>
              <w:bottom w:w="80" w:type="dxa"/>
              <w:end w:w="120" w:type="dxa"/>
            </w:tcMar>
          </w:tcPr>
          <w:p>
            <w:pPr>
              <w:spacing w:after="0" w:line="259" w:lineRule="auto"/>
            </w:pPr>
            <w:r>
              <w:rPr>
                <w:rFonts w:ascii="Calibri" w:hAnsi="Calibri"/>
                <w:color w:val="344054"/>
                <w:sz w:val="18"/>
              </w:rPr>
              <w:t>Use the real UAT or production hostname; never use wildcard in hosted environments.</w:t>
            </w:r>
          </w:p>
        </w:tc>
      </w:tr>
      <w:tr>
        <w:trPr>
          <w:cantSplit/>
        </w:trPr>
        <w:tc>
          <w:tcPr>
            <w:tcW w:type="dxa" w:w="3300"/>
            <w:vAlign w:val="center"/>
            <w:tcMar>
              <w:top w:w="80" w:type="dxa"/>
              <w:start w:w="120" w:type="dxa"/>
              <w:bottom w:w="80" w:type="dxa"/>
              <w:end w:w="120" w:type="dxa"/>
            </w:tcMar>
          </w:tcPr>
          <w:p>
            <w:pPr>
              <w:spacing w:after="0" w:line="259" w:lineRule="auto"/>
            </w:pPr>
            <w:r>
              <w:rPr>
                <w:rFonts w:ascii="Calibri" w:hAnsi="Calibri"/>
                <w:color w:val="344054"/>
                <w:sz w:val="18"/>
              </w:rPr>
              <w:t>DataProtection:ApplicationName</w:t>
            </w:r>
          </w:p>
        </w:tc>
        <w:tc>
          <w:tcPr>
            <w:tcW w:type="dxa" w:w="6060"/>
            <w:vAlign w:val="center"/>
            <w:tcMar>
              <w:top w:w="80" w:type="dxa"/>
              <w:start w:w="120" w:type="dxa"/>
              <w:bottom w:w="80" w:type="dxa"/>
              <w:end w:w="120" w:type="dxa"/>
            </w:tcMar>
          </w:tcPr>
          <w:p>
            <w:pPr>
              <w:spacing w:after="0" w:line="259" w:lineRule="auto"/>
            </w:pPr>
            <w:r>
              <w:rPr>
                <w:rFonts w:ascii="Calibri" w:hAnsi="Calibri"/>
                <w:color w:val="344054"/>
                <w:sz w:val="18"/>
              </w:rPr>
              <w:t>Keeps authentication-cookie key usage scoped to this application.</w:t>
            </w:r>
          </w:p>
        </w:tc>
      </w:tr>
      <w:tr>
        <w:trPr>
          <w:cantSplit/>
        </w:trPr>
        <w:tc>
          <w:tcPr>
            <w:tcW w:type="dxa" w:w="3300"/>
            <w:vAlign w:val="center"/>
            <w:tcMar>
              <w:top w:w="80" w:type="dxa"/>
              <w:start w:w="120" w:type="dxa"/>
              <w:bottom w:w="80" w:type="dxa"/>
              <w:end w:w="120" w:type="dxa"/>
            </w:tcMar>
          </w:tcPr>
          <w:p>
            <w:pPr>
              <w:spacing w:after="0" w:line="259" w:lineRule="auto"/>
            </w:pPr>
            <w:r>
              <w:rPr>
                <w:rFonts w:ascii="Calibri" w:hAnsi="Calibri"/>
                <w:color w:val="344054"/>
                <w:sz w:val="18"/>
              </w:rPr>
              <w:t>DataProtection:KeysPath</w:t>
            </w:r>
          </w:p>
        </w:tc>
        <w:tc>
          <w:tcPr>
            <w:tcW w:type="dxa" w:w="6060"/>
            <w:vAlign w:val="center"/>
            <w:tcMar>
              <w:top w:w="80" w:type="dxa"/>
              <w:start w:w="120" w:type="dxa"/>
              <w:bottom w:w="80" w:type="dxa"/>
              <w:end w:w="120" w:type="dxa"/>
            </w:tcMar>
          </w:tcPr>
          <w:p>
            <w:pPr>
              <w:spacing w:after="0" w:line="259" w:lineRule="auto"/>
            </w:pPr>
            <w:r>
              <w:rPr>
                <w:rFonts w:ascii="Calibri" w:hAnsi="Calibri"/>
                <w:color w:val="344054"/>
                <w:sz w:val="18"/>
              </w:rPr>
              <w:t>Persistent protected key directory required for hosted environments and multiple instances.</w:t>
            </w:r>
          </w:p>
        </w:tc>
      </w:tr>
      <w:tr>
        <w:trPr>
          <w:cantSplit/>
        </w:trPr>
        <w:tc>
          <w:tcPr>
            <w:tcW w:type="dxa" w:w="3300"/>
            <w:vAlign w:val="center"/>
            <w:tcMar>
              <w:top w:w="80" w:type="dxa"/>
              <w:start w:w="120" w:type="dxa"/>
              <w:bottom w:w="80" w:type="dxa"/>
              <w:end w:w="120" w:type="dxa"/>
            </w:tcMar>
          </w:tcPr>
          <w:p>
            <w:pPr>
              <w:spacing w:after="0" w:line="259" w:lineRule="auto"/>
            </w:pPr>
            <w:r>
              <w:rPr>
                <w:rFonts w:ascii="Calibri" w:hAnsi="Calibri"/>
                <w:color w:val="344054"/>
                <w:sz w:val="18"/>
              </w:rPr>
              <w:t>ASPNETCORE_ENVIRONMENT</w:t>
            </w:r>
          </w:p>
        </w:tc>
        <w:tc>
          <w:tcPr>
            <w:tcW w:type="dxa" w:w="6060"/>
            <w:vAlign w:val="center"/>
            <w:tcMar>
              <w:top w:w="80" w:type="dxa"/>
              <w:start w:w="120" w:type="dxa"/>
              <w:bottom w:w="80" w:type="dxa"/>
              <w:end w:w="120" w:type="dxa"/>
            </w:tcMar>
          </w:tcPr>
          <w:p>
            <w:pPr>
              <w:spacing w:after="0" w:line="259" w:lineRule="auto"/>
            </w:pPr>
            <w:r>
              <w:rPr>
                <w:rFonts w:ascii="Calibri" w:hAnsi="Calibri"/>
                <w:color w:val="344054"/>
                <w:sz w:val="18"/>
              </w:rPr>
              <w:t>Development, UAT or Production selects the appropriate configuration.</w:t>
            </w:r>
          </w:p>
        </w:tc>
      </w:tr>
    </w:tbl>
    <w:p>
      <w:pPr>
        <w:spacing w:before="80" w:after="80"/>
      </w:pPr>
    </w:p>
    <w:p>
      <w:pPr>
        <w:pStyle w:val="Heading2"/>
      </w:pPr>
      <w:r>
        <w:t>Database script order</w:t>
      </w:r>
    </w:p>
    <w:p>
      <w:pPr>
        <w:spacing w:after="80" w:line="300" w:lineRule="auto"/>
        <w:numPr>
          <w:ilvl w:val="0"/>
          <w:numId w:val="14"/>
        </w:numPr>
      </w:pPr>
      <w:r>
        <w:rPr>
          <w:rFonts w:ascii="Calibri" w:hAnsi="Calibri"/>
          <w:color w:val="000000"/>
          <w:sz w:val="22"/>
        </w:rPr>
        <w:t>Back up the target database and verify the backup.</w:t>
      </w:r>
    </w:p>
    <w:p>
      <w:pPr>
        <w:spacing w:after="80" w:line="300" w:lineRule="auto"/>
        <w:numPr>
          <w:ilvl w:val="0"/>
          <w:numId w:val="14"/>
        </w:numPr>
      </w:pPr>
      <w:r>
        <w:rPr>
          <w:rFonts w:ascii="Calibri" w:hAnsi="Calibri"/>
          <w:color w:val="000000"/>
          <w:sz w:val="22"/>
        </w:rPr>
        <w:t>Run ClientIsolation.sql when upgrading a database that lacks Clients/ClientId/OwnerUserId.</w:t>
      </w:r>
    </w:p>
    <w:p>
      <w:pPr>
        <w:spacing w:after="80" w:line="300" w:lineRule="auto"/>
        <w:numPr>
          <w:ilvl w:val="0"/>
          <w:numId w:val="14"/>
        </w:numPr>
      </w:pPr>
      <w:r>
        <w:rPr>
          <w:rFonts w:ascii="Calibri" w:hAnsi="Calibri"/>
          <w:color w:val="000000"/>
          <w:sz w:val="22"/>
        </w:rPr>
        <w:t>Run AuditLogs.sql.</w:t>
      </w:r>
    </w:p>
    <w:p>
      <w:pPr>
        <w:spacing w:after="80" w:line="300" w:lineRule="auto"/>
        <w:numPr>
          <w:ilvl w:val="0"/>
          <w:numId w:val="14"/>
        </w:numPr>
      </w:pPr>
      <w:r>
        <w:rPr>
          <w:rFonts w:ascii="Calibri" w:hAnsi="Calibri"/>
          <w:color w:val="000000"/>
          <w:sz w:val="22"/>
        </w:rPr>
        <w:t>Run RolesPermissions.sql.</w:t>
      </w:r>
    </w:p>
    <w:p>
      <w:pPr>
        <w:spacing w:after="80" w:line="300" w:lineRule="auto"/>
        <w:numPr>
          <w:ilvl w:val="0"/>
          <w:numId w:val="14"/>
        </w:numPr>
      </w:pPr>
      <w:r>
        <w:rPr>
          <w:rFonts w:ascii="Calibri" w:hAnsi="Calibri"/>
          <w:color w:val="000000"/>
          <w:sz w:val="22"/>
        </w:rPr>
        <w:t>Run MenuItems.sql.</w:t>
      </w:r>
    </w:p>
    <w:p>
      <w:pPr>
        <w:spacing w:after="80" w:line="300" w:lineRule="auto"/>
        <w:numPr>
          <w:ilvl w:val="0"/>
          <w:numId w:val="14"/>
        </w:numPr>
      </w:pPr>
      <w:r>
        <w:rPr>
          <w:rFonts w:ascii="Calibri" w:hAnsi="Calibri"/>
          <w:color w:val="000000"/>
          <w:sz w:val="22"/>
        </w:rPr>
        <w:t>Run PortalAmlWorkflow.sql to synchronize columns and create the workflow tables.</w:t>
      </w:r>
    </w:p>
    <w:p>
      <w:pPr>
        <w:spacing w:after="80" w:line="300" w:lineRule="auto"/>
        <w:numPr>
          <w:ilvl w:val="0"/>
          <w:numId w:val="14"/>
        </w:numPr>
      </w:pPr>
      <w:r>
        <w:rPr>
          <w:rFonts w:ascii="Calibri" w:hAnsi="Calibri"/>
          <w:color w:val="000000"/>
          <w:sz w:val="22"/>
        </w:rPr>
        <w:t>Run schema and cross-client integration tests.</w:t>
      </w:r>
    </w:p>
    <w:p>
      <w:pPr>
        <w:spacing w:after="80" w:line="300" w:lineRule="auto"/>
        <w:numPr>
          <w:ilvl w:val="0"/>
          <w:numId w:val="14"/>
        </w:numPr>
      </w:pPr>
      <w:r>
        <w:rPr>
          <w:rFonts w:ascii="Calibri" w:hAnsi="Calibri"/>
          <w:color w:val="000000"/>
          <w:sz w:val="22"/>
        </w:rPr>
        <w:t>Restart the application and sign in again so the authentication cookie contains current permissions.</w:t>
      </w:r>
    </w:p>
    <w:p>
      <w:pPr>
        <w:pStyle w:val="Heading2"/>
      </w:pPr>
      <w:r>
        <w:t>UAT checklist</w:t>
      </w:r>
    </w:p>
    <w:p>
      <w:pPr>
        <w:pStyle w:val="ListBullet"/>
        <w:keepLines/>
        <w:spacing w:after="80" w:line="300" w:lineRule="auto"/>
      </w:pPr>
      <w:r>
        <w:rPr>
          <w:rFonts w:ascii="Calibri" w:hAnsi="Calibri"/>
          <w:color w:val="000000"/>
          <w:sz w:val="22"/>
        </w:rPr>
        <w:t>Use a separate UAT database and UAT hostname.</w:t>
      </w:r>
    </w:p>
    <w:p>
      <w:pPr>
        <w:pStyle w:val="ListBullet"/>
        <w:keepLines/>
        <w:spacing w:after="80" w:line="300" w:lineRule="auto"/>
      </w:pPr>
      <w:r>
        <w:rPr>
          <w:rFonts w:ascii="Calibri" w:hAnsi="Calibri"/>
          <w:color w:val="000000"/>
          <w:sz w:val="22"/>
        </w:rPr>
        <w:t>Seed separate test clients, users, roles and representative AML records.</w:t>
      </w:r>
    </w:p>
    <w:p>
      <w:pPr>
        <w:pStyle w:val="ListBullet"/>
        <w:keepLines/>
        <w:spacing w:after="80" w:line="300" w:lineRule="auto"/>
      </w:pPr>
      <w:r>
        <w:rPr>
          <w:rFonts w:ascii="Calibri" w:hAnsi="Calibri"/>
          <w:color w:val="000000"/>
          <w:sz w:val="22"/>
        </w:rPr>
        <w:t>Prove users cannot access another ClientId by changing URL IDs.</w:t>
      </w:r>
    </w:p>
    <w:p>
      <w:pPr>
        <w:pStyle w:val="ListBullet"/>
        <w:keepLines/>
        <w:spacing w:after="80" w:line="300" w:lineRule="auto"/>
      </w:pPr>
      <w:r>
        <w:rPr>
          <w:rFonts w:ascii="Calibri" w:hAnsi="Calibri"/>
          <w:color w:val="000000"/>
          <w:sz w:val="22"/>
        </w:rPr>
        <w:t>Verify user permission grants and explicit denies after logout/login.</w:t>
      </w:r>
    </w:p>
    <w:p>
      <w:pPr>
        <w:pStyle w:val="ListBullet"/>
        <w:keepLines/>
        <w:spacing w:after="80" w:line="300" w:lineRule="auto"/>
      </w:pPr>
      <w:r>
        <w:rPr>
          <w:rFonts w:ascii="Calibri" w:hAnsi="Calibri"/>
          <w:color w:val="000000"/>
          <w:sz w:val="22"/>
        </w:rPr>
        <w:t>Test ALLOW, REVIEW and BLOCK transaction scenarios.</w:t>
      </w:r>
    </w:p>
    <w:p>
      <w:pPr>
        <w:pStyle w:val="ListBullet"/>
        <w:keepLines/>
        <w:spacing w:after="80" w:line="300" w:lineRule="auto"/>
      </w:pPr>
      <w:r>
        <w:rPr>
          <w:rFonts w:ascii="Calibri" w:hAnsi="Calibri"/>
          <w:color w:val="000000"/>
          <w:sz w:val="22"/>
        </w:rPr>
        <w:t>Verify alert resolution and case disposition requirements.</w:t>
      </w:r>
    </w:p>
    <w:p>
      <w:pPr>
        <w:pStyle w:val="ListBullet"/>
        <w:keepLines/>
        <w:spacing w:after="80" w:line="300" w:lineRule="auto"/>
      </w:pPr>
      <w:r>
        <w:rPr>
          <w:rFonts w:ascii="Calibri" w:hAnsi="Calibri"/>
          <w:color w:val="000000"/>
          <w:sz w:val="22"/>
        </w:rPr>
        <w:t>Verify soft-deleted rows disappear but audit history remains.</w:t>
      </w:r>
    </w:p>
    <w:p>
      <w:pPr>
        <w:pStyle w:val="ListBullet"/>
        <w:keepLines/>
        <w:spacing w:after="80" w:line="300" w:lineRule="auto"/>
      </w:pPr>
      <w:r>
        <w:rPr>
          <w:rFonts w:ascii="Calibri" w:hAnsi="Calibri"/>
          <w:color w:val="000000"/>
          <w:sz w:val="22"/>
        </w:rPr>
        <w:t>Review logs without exposing connection strings, hashes or sensitive KYC values.</w:t>
      </w:r>
    </w:p>
    <w:p>
      <w:pPr>
        <w:pStyle w:val="Heading2"/>
      </w:pPr>
      <w:r>
        <w:t>Production controls</w:t>
      </w:r>
    </w:p>
    <w:p>
      <w:pPr>
        <w:pStyle w:val="ListBullet"/>
        <w:keepLines/>
        <w:spacing w:after="80" w:line="300" w:lineRule="auto"/>
      </w:pPr>
      <w:r>
        <w:rPr>
          <w:rFonts w:ascii="Calibri" w:hAnsi="Calibri"/>
          <w:color w:val="000000"/>
          <w:sz w:val="22"/>
        </w:rPr>
        <w:t>Use managed secrets, least-privilege database credentials and encrypted connections.</w:t>
      </w:r>
    </w:p>
    <w:p>
      <w:pPr>
        <w:pStyle w:val="ListBullet"/>
        <w:keepLines/>
        <w:spacing w:after="80" w:line="300" w:lineRule="auto"/>
      </w:pPr>
      <w:r>
        <w:rPr>
          <w:rFonts w:ascii="Calibri" w:hAnsi="Calibri"/>
          <w:color w:val="000000"/>
          <w:sz w:val="22"/>
        </w:rPr>
        <w:t>Persist and back up data-protection keys; configure shared keys for multiple application instances.</w:t>
      </w:r>
    </w:p>
    <w:p>
      <w:pPr>
        <w:pStyle w:val="ListBullet"/>
        <w:keepLines/>
        <w:spacing w:after="80" w:line="300" w:lineRule="auto"/>
      </w:pPr>
      <w:r>
        <w:rPr>
          <w:rFonts w:ascii="Calibri" w:hAnsi="Calibri"/>
          <w:color w:val="000000"/>
          <w:sz w:val="22"/>
        </w:rPr>
        <w:t>Centralize structured logs and health monitoring.</w:t>
      </w:r>
    </w:p>
    <w:p>
      <w:pPr>
        <w:pStyle w:val="ListBullet"/>
        <w:keepLines/>
        <w:spacing w:after="80" w:line="300" w:lineRule="auto"/>
      </w:pPr>
      <w:r>
        <w:rPr>
          <w:rFonts w:ascii="Calibri" w:hAnsi="Calibri"/>
          <w:color w:val="000000"/>
          <w:sz w:val="22"/>
        </w:rPr>
        <w:t>Add database backup, restore testing, retention and disaster-recovery procedures.</w:t>
      </w:r>
    </w:p>
    <w:p>
      <w:pPr>
        <w:pStyle w:val="ListBullet"/>
        <w:keepLines/>
        <w:spacing w:after="80" w:line="300" w:lineRule="auto"/>
      </w:pPr>
      <w:r>
        <w:rPr>
          <w:rFonts w:ascii="Calibri" w:hAnsi="Calibri"/>
          <w:color w:val="000000"/>
          <w:sz w:val="22"/>
        </w:rPr>
        <w:t>Review role assignments regularly and record privileged-access changes.</w:t>
      </w:r>
    </w:p>
    <w:p>
      <w:pPr>
        <w:pStyle w:val="ListBullet"/>
        <w:keepLines/>
        <w:spacing w:after="80" w:line="300" w:lineRule="auto"/>
      </w:pPr>
      <w:r>
        <w:rPr>
          <w:rFonts w:ascii="Calibri" w:hAnsi="Calibri"/>
          <w:color w:val="000000"/>
          <w:sz w:val="22"/>
        </w:rPr>
        <w:t>Run security, load, regression and SQL integration tests in the release pipeline.</w:t>
      </w:r>
    </w:p>
    <w:p>
      <w:pPr>
        <w:pStyle w:val="Heading1"/>
      </w:pPr>
      <w:r>
        <w:t>12. Testing evidence, limitations and remaining work</w:t>
      </w:r>
    </w:p>
    <w:tbl>
      <w:tblPr>
        <w:tblStyle w:val="TableGrid"/>
        <w:tblW w:type="dxa" w:w="9360"/>
        <w:jc w:val="left"/>
        <w:tblLayout w:type="fixed"/>
        <w:tblLook w:firstColumn="1" w:firstRow="1" w:lastColumn="0" w:lastRow="0" w:noHBand="0" w:noVBand="1" w:val="04A0"/>
        <w:tblInd w:w="120" w:type="dxa"/>
      </w:tblPr>
      <w:tblGrid>
        <w:gridCol w:w="2500"/>
        <w:gridCol w:w="1500"/>
        <w:gridCol w:w="5360"/>
      </w:tblGrid>
      <w:tr>
        <w:trPr>
          <w:tblHeader w:val="true"/>
          <w:cantSplit/>
        </w:trPr>
        <w:tc>
          <w:tcPr>
            <w:tcW w:type="dxa" w:w="2500"/>
            <w:shd w:fill="E8EEF5"/>
            <w:vAlign w:val="center"/>
            <w:tcMar>
              <w:top w:w="80" w:type="dxa"/>
              <w:start w:w="120" w:type="dxa"/>
              <w:bottom w:w="80" w:type="dxa"/>
              <w:end w:w="120" w:type="dxa"/>
            </w:tcMar>
          </w:tcPr>
          <w:p>
            <w:pPr>
              <w:spacing w:after="0"/>
              <w:jc w:val="left"/>
            </w:pPr>
            <w:r>
              <w:rPr>
                <w:rFonts w:ascii="Calibri" w:hAnsi="Calibri"/>
                <w:b/>
                <w:color w:val="0B2545"/>
                <w:sz w:val="17"/>
              </w:rPr>
              <w:t>Check</w:t>
            </w:r>
          </w:p>
        </w:tc>
        <w:tc>
          <w:tcPr>
            <w:tcW w:type="dxa" w:w="1500"/>
            <w:shd w:fill="E8EEF5"/>
            <w:vAlign w:val="center"/>
            <w:tcMar>
              <w:top w:w="80" w:type="dxa"/>
              <w:start w:w="120" w:type="dxa"/>
              <w:bottom w:w="80" w:type="dxa"/>
              <w:end w:w="120" w:type="dxa"/>
            </w:tcMar>
          </w:tcPr>
          <w:p>
            <w:pPr>
              <w:spacing w:after="0"/>
              <w:jc w:val="left"/>
            </w:pPr>
            <w:r>
              <w:rPr>
                <w:rFonts w:ascii="Calibri" w:hAnsi="Calibri"/>
                <w:b/>
                <w:color w:val="0B2545"/>
                <w:sz w:val="17"/>
              </w:rPr>
              <w:t>Result</w:t>
            </w:r>
          </w:p>
        </w:tc>
        <w:tc>
          <w:tcPr>
            <w:tcW w:type="dxa" w:w="5360"/>
            <w:shd w:fill="E8EEF5"/>
            <w:vAlign w:val="center"/>
            <w:tcMar>
              <w:top w:w="80" w:type="dxa"/>
              <w:start w:w="120" w:type="dxa"/>
              <w:bottom w:w="80" w:type="dxa"/>
              <w:end w:w="120" w:type="dxa"/>
            </w:tcMar>
          </w:tcPr>
          <w:p>
            <w:pPr>
              <w:spacing w:after="0"/>
              <w:jc w:val="left"/>
            </w:pPr>
            <w:r>
              <w:rPr>
                <w:rFonts w:ascii="Calibri" w:hAnsi="Calibri"/>
                <w:b/>
                <w:color w:val="0B2545"/>
                <w:sz w:val="17"/>
              </w:rPr>
              <w:t>Evidence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Release build</w:t>
            </w:r>
          </w:p>
        </w:tc>
        <w:tc>
          <w:tcPr>
            <w:tcW w:type="dxa" w:w="1500"/>
            <w:vAlign w:val="center"/>
            <w:tcMar>
              <w:top w:w="80" w:type="dxa"/>
              <w:start w:w="120" w:type="dxa"/>
              <w:bottom w:w="80" w:type="dxa"/>
              <w:end w:w="120" w:type="dxa"/>
            </w:tcMar>
          </w:tcPr>
          <w:p>
            <w:pPr>
              <w:spacing w:after="0" w:line="259" w:lineRule="auto"/>
            </w:pPr>
            <w:r>
              <w:rPr>
                <w:rFonts w:ascii="Calibri" w:hAnsi="Calibri"/>
                <w:color w:val="344054"/>
                <w:sz w:val="17"/>
              </w:rPr>
              <w:t>Passed</w:t>
            </w:r>
          </w:p>
        </w:tc>
        <w:tc>
          <w:tcPr>
            <w:tcW w:type="dxa" w:w="5360"/>
            <w:vAlign w:val="center"/>
            <w:tcMar>
              <w:top w:w="80" w:type="dxa"/>
              <w:start w:w="120" w:type="dxa"/>
              <w:bottom w:w="80" w:type="dxa"/>
              <w:end w:w="120" w:type="dxa"/>
            </w:tcMar>
          </w:tcPr>
          <w:p>
            <w:pPr>
              <w:spacing w:after="0" w:line="259" w:lineRule="auto"/>
            </w:pPr>
            <w:r>
              <w:rPr>
                <w:rFonts w:ascii="Calibri" w:hAnsi="Calibri"/>
                <w:color w:val="344054"/>
                <w:sz w:val="17"/>
              </w:rPr>
              <w:t>0 errors and 0 warnings after workflow migration changes.</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Integration tests</w:t>
            </w:r>
          </w:p>
        </w:tc>
        <w:tc>
          <w:tcPr>
            <w:tcW w:type="dxa" w:w="1500"/>
            <w:vAlign w:val="center"/>
            <w:tcMar>
              <w:top w:w="80" w:type="dxa"/>
              <w:start w:w="120" w:type="dxa"/>
              <w:bottom w:w="80" w:type="dxa"/>
              <w:end w:w="120" w:type="dxa"/>
            </w:tcMar>
          </w:tcPr>
          <w:p>
            <w:pPr>
              <w:spacing w:after="0" w:line="259" w:lineRule="auto"/>
            </w:pPr>
            <w:r>
              <w:rPr>
                <w:rFonts w:ascii="Calibri" w:hAnsi="Calibri"/>
                <w:color w:val="344054"/>
                <w:sz w:val="17"/>
              </w:rPr>
              <w:t>Passed</w:t>
            </w:r>
          </w:p>
        </w:tc>
        <w:tc>
          <w:tcPr>
            <w:tcW w:type="dxa" w:w="5360"/>
            <w:vAlign w:val="center"/>
            <w:tcMar>
              <w:top w:w="80" w:type="dxa"/>
              <w:start w:w="120" w:type="dxa"/>
              <w:bottom w:w="80" w:type="dxa"/>
              <w:end w:w="120" w:type="dxa"/>
            </w:tcMar>
          </w:tcPr>
          <w:p>
            <w:pPr>
              <w:spacing w:after="0" w:line="259" w:lineRule="auto"/>
            </w:pPr>
            <w:r>
              <w:rPr>
                <w:rFonts w:ascii="Calibri" w:hAnsi="Calibri"/>
                <w:color w:val="344054"/>
                <w:sz w:val="17"/>
              </w:rPr>
              <w:t>6 of 6 tests passed with SQL Server test connection enabled.</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Login query</w:t>
            </w:r>
          </w:p>
        </w:tc>
        <w:tc>
          <w:tcPr>
            <w:tcW w:type="dxa" w:w="1500"/>
            <w:vAlign w:val="center"/>
            <w:tcMar>
              <w:top w:w="80" w:type="dxa"/>
              <w:start w:w="120" w:type="dxa"/>
              <w:bottom w:w="80" w:type="dxa"/>
              <w:end w:w="120" w:type="dxa"/>
            </w:tcMar>
          </w:tcPr>
          <w:p>
            <w:pPr>
              <w:spacing w:after="0" w:line="259" w:lineRule="auto"/>
            </w:pPr>
            <w:r>
              <w:rPr>
                <w:rFonts w:ascii="Calibri" w:hAnsi="Calibri"/>
                <w:color w:val="344054"/>
                <w:sz w:val="17"/>
              </w:rPr>
              <w:t>Passed</w:t>
            </w:r>
          </w:p>
        </w:tc>
        <w:tc>
          <w:tcPr>
            <w:tcW w:type="dxa" w:w="5360"/>
            <w:vAlign w:val="center"/>
            <w:tcMar>
              <w:top w:w="80" w:type="dxa"/>
              <w:start w:w="120" w:type="dxa"/>
              <w:bottom w:w="80" w:type="dxa"/>
              <w:end w:w="120" w:type="dxa"/>
            </w:tcMar>
          </w:tcPr>
          <w:p>
            <w:pPr>
              <w:spacing w:after="0" w:line="259" w:lineRule="auto"/>
            </w:pPr>
            <w:r>
              <w:rPr>
                <w:rFonts w:ascii="Calibri" w:hAnsi="Calibri"/>
                <w:color w:val="344054"/>
                <w:sz w:val="17"/>
              </w:rPr>
              <w:t>Admin user resolves with ClientId, active Admin role and 32 effective permissions.</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Schema verification</w:t>
            </w:r>
          </w:p>
        </w:tc>
        <w:tc>
          <w:tcPr>
            <w:tcW w:type="dxa" w:w="1500"/>
            <w:vAlign w:val="center"/>
            <w:tcMar>
              <w:top w:w="80" w:type="dxa"/>
              <w:start w:w="120" w:type="dxa"/>
              <w:bottom w:w="80" w:type="dxa"/>
              <w:end w:w="120" w:type="dxa"/>
            </w:tcMar>
          </w:tcPr>
          <w:p>
            <w:pPr>
              <w:spacing w:after="0" w:line="259" w:lineRule="auto"/>
            </w:pPr>
            <w:r>
              <w:rPr>
                <w:rFonts w:ascii="Calibri" w:hAnsi="Calibri"/>
                <w:color w:val="344054"/>
                <w:sz w:val="17"/>
              </w:rPr>
              <w:t>Passed</w:t>
            </w:r>
          </w:p>
        </w:tc>
        <w:tc>
          <w:tcPr>
            <w:tcW w:type="dxa" w:w="5360"/>
            <w:vAlign w:val="center"/>
            <w:tcMar>
              <w:top w:w="80" w:type="dxa"/>
              <w:start w:w="120" w:type="dxa"/>
              <w:bottom w:w="80" w:type="dxa"/>
              <w:end w:w="120" w:type="dxa"/>
            </w:tcMar>
          </w:tcPr>
          <w:p>
            <w:pPr>
              <w:spacing w:after="0" w:line="259" w:lineRule="auto"/>
            </w:pPr>
            <w:r>
              <w:rPr>
                <w:rFonts w:ascii="Calibri" w:hAnsi="Calibri"/>
                <w:color w:val="344054"/>
                <w:sz w:val="17"/>
              </w:rPr>
              <w:t>Missing IsGranted/RowVersion columns added and seven workflow tables created.</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Browser negative login</w:t>
            </w:r>
          </w:p>
        </w:tc>
        <w:tc>
          <w:tcPr>
            <w:tcW w:type="dxa" w:w="1500"/>
            <w:vAlign w:val="center"/>
            <w:tcMar>
              <w:top w:w="80" w:type="dxa"/>
              <w:start w:w="120" w:type="dxa"/>
              <w:bottom w:w="80" w:type="dxa"/>
              <w:end w:w="120" w:type="dxa"/>
            </w:tcMar>
          </w:tcPr>
          <w:p>
            <w:pPr>
              <w:spacing w:after="0" w:line="259" w:lineRule="auto"/>
            </w:pPr>
            <w:r>
              <w:rPr>
                <w:rFonts w:ascii="Calibri" w:hAnsi="Calibri"/>
                <w:color w:val="344054"/>
                <w:sz w:val="17"/>
              </w:rPr>
              <w:t>Passed</w:t>
            </w:r>
          </w:p>
        </w:tc>
        <w:tc>
          <w:tcPr>
            <w:tcW w:type="dxa" w:w="5360"/>
            <w:vAlign w:val="center"/>
            <w:tcMar>
              <w:top w:w="80" w:type="dxa"/>
              <w:start w:w="120" w:type="dxa"/>
              <w:bottom w:w="80" w:type="dxa"/>
              <w:end w:w="120" w:type="dxa"/>
            </w:tcMar>
          </w:tcPr>
          <w:p>
            <w:pPr>
              <w:spacing w:after="0" w:line="259" w:lineRule="auto"/>
            </w:pPr>
            <w:r>
              <w:rPr>
                <w:rFonts w:ascii="Calibri" w:hAnsi="Calibri"/>
                <w:color w:val="344054"/>
                <w:sz w:val="17"/>
              </w:rPr>
              <w:t>Incorrect test password returns Invalid username or password instead of a database-unavailable message.</w:t>
            </w:r>
          </w:p>
        </w:tc>
      </w:tr>
      <w:tr>
        <w:trPr>
          <w:cantSplit/>
        </w:trPr>
        <w:tc>
          <w:tcPr>
            <w:tcW w:type="dxa" w:w="2500"/>
            <w:vAlign w:val="center"/>
            <w:tcMar>
              <w:top w:w="80" w:type="dxa"/>
              <w:start w:w="120" w:type="dxa"/>
              <w:bottom w:w="80" w:type="dxa"/>
              <w:end w:w="120" w:type="dxa"/>
            </w:tcMar>
          </w:tcPr>
          <w:p>
            <w:pPr>
              <w:spacing w:after="0" w:line="259" w:lineRule="auto"/>
            </w:pPr>
            <w:r>
              <w:rPr>
                <w:rFonts w:ascii="Calibri" w:hAnsi="Calibri"/>
                <w:color w:val="344054"/>
                <w:sz w:val="17"/>
              </w:rPr>
              <w:t>Correct-password browser login</w:t>
            </w:r>
          </w:p>
        </w:tc>
        <w:tc>
          <w:tcPr>
            <w:tcW w:type="dxa" w:w="1500"/>
            <w:vAlign w:val="center"/>
            <w:tcMar>
              <w:top w:w="80" w:type="dxa"/>
              <w:start w:w="120" w:type="dxa"/>
              <w:bottom w:w="80" w:type="dxa"/>
              <w:end w:w="120" w:type="dxa"/>
            </w:tcMar>
          </w:tcPr>
          <w:p>
            <w:pPr>
              <w:spacing w:after="0" w:line="259" w:lineRule="auto"/>
            </w:pPr>
            <w:r>
              <w:rPr>
                <w:rFonts w:ascii="Calibri" w:hAnsi="Calibri"/>
                <w:color w:val="344054"/>
                <w:sz w:val="17"/>
              </w:rPr>
              <w:t>User verification</w:t>
            </w:r>
          </w:p>
        </w:tc>
        <w:tc>
          <w:tcPr>
            <w:tcW w:type="dxa" w:w="5360"/>
            <w:vAlign w:val="center"/>
            <w:tcMar>
              <w:top w:w="80" w:type="dxa"/>
              <w:start w:w="120" w:type="dxa"/>
              <w:bottom w:w="80" w:type="dxa"/>
              <w:end w:w="120" w:type="dxa"/>
            </w:tcMar>
          </w:tcPr>
          <w:p>
            <w:pPr>
              <w:spacing w:after="0" w:line="259" w:lineRule="auto"/>
            </w:pPr>
            <w:r>
              <w:rPr>
                <w:rFonts w:ascii="Calibri" w:hAnsi="Calibri"/>
                <w:color w:val="344054"/>
                <w:sz w:val="17"/>
              </w:rPr>
              <w:t>The user's real password was not requested or entered during automated verification.</w:t>
            </w:r>
          </w:p>
        </w:tc>
      </w:tr>
    </w:tbl>
    <w:p>
      <w:pPr>
        <w:spacing w:before="80" w:after="80"/>
      </w:pPr>
    </w:p>
    <w:p>
      <w:pPr>
        <w:pStyle w:val="Heading2"/>
      </w:pPr>
      <w:r>
        <w:t>Known limitations</w:t>
      </w:r>
    </w:p>
    <w:p>
      <w:pPr>
        <w:pStyle w:val="ListBullet"/>
        <w:keepLines/>
        <w:spacing w:after="80" w:line="300" w:lineRule="auto"/>
      </w:pPr>
      <w:r>
        <w:rPr>
          <w:rFonts w:ascii="Calibri" w:hAnsi="Calibri"/>
          <w:color w:val="000000"/>
          <w:sz w:val="22"/>
        </w:rPr>
        <w:t>AML list data is currently client-owned. A centralized platform normally separates global authoritative lists from client-private lists.</w:t>
      </w:r>
    </w:p>
    <w:p>
      <w:pPr>
        <w:pStyle w:val="ListBullet"/>
        <w:keepLines/>
        <w:spacing w:after="80" w:line="300" w:lineRule="auto"/>
      </w:pPr>
      <w:r>
        <w:rPr>
          <w:rFonts w:ascii="Calibri" w:hAnsi="Calibri"/>
          <w:color w:val="000000"/>
          <w:sz w:val="22"/>
        </w:rPr>
        <w:t>ListVersion is currently manual-v1; automated source/version ingestion is not implemented.</w:t>
      </w:r>
    </w:p>
    <w:p>
      <w:pPr>
        <w:pStyle w:val="ListBullet"/>
        <w:keepLines/>
        <w:spacing w:after="80" w:line="300" w:lineRule="auto"/>
      </w:pPr>
      <w:r>
        <w:rPr>
          <w:rFonts w:ascii="Calibri" w:hAnsi="Calibri"/>
          <w:color w:val="000000"/>
          <w:sz w:val="22"/>
        </w:rPr>
        <w:t>Name matching is a basic normalized Levenshtein implementation and lacks aliases, scripts/transliteration, identifiers and entity ownership matching.</w:t>
      </w:r>
    </w:p>
    <w:p>
      <w:pPr>
        <w:pStyle w:val="ListBullet"/>
        <w:keepLines/>
        <w:spacing w:after="80" w:line="300" w:lineRule="auto"/>
      </w:pPr>
      <w:r>
        <w:rPr>
          <w:rFonts w:ascii="Calibri" w:hAnsi="Calibri"/>
          <w:color w:val="000000"/>
          <w:sz w:val="22"/>
        </w:rPr>
        <w:t>Receiver screening does not use receiver date of birth, nationality or identifiers because those fields are not captured.</w:t>
      </w:r>
    </w:p>
    <w:p>
      <w:pPr>
        <w:pStyle w:val="ListBullet"/>
        <w:keepLines/>
        <w:spacing w:after="80" w:line="300" w:lineRule="auto"/>
      </w:pPr>
      <w:r>
        <w:rPr>
          <w:rFonts w:ascii="Calibri" w:hAnsi="Calibri"/>
          <w:color w:val="000000"/>
          <w:sz w:val="22"/>
        </w:rPr>
        <w:t>Threshold-rule approval is not true maker-checker.</w:t>
      </w:r>
    </w:p>
    <w:p>
      <w:pPr>
        <w:pStyle w:val="ListBullet"/>
        <w:keepLines/>
        <w:spacing w:after="80" w:line="300" w:lineRule="auto"/>
      </w:pPr>
      <w:r>
        <w:rPr>
          <w:rFonts w:ascii="Calibri" w:hAnsi="Calibri"/>
          <w:color w:val="000000"/>
          <w:sz w:val="22"/>
        </w:rPr>
        <w:t>New customer and workflow lists need server-side pagination for production scale.</w:t>
      </w:r>
    </w:p>
    <w:p>
      <w:pPr>
        <w:pStyle w:val="ListBullet"/>
        <w:keepLines/>
        <w:spacing w:after="80" w:line="300" w:lineRule="auto"/>
      </w:pPr>
      <w:r>
        <w:rPr>
          <w:rFonts w:ascii="Calibri" w:hAnsi="Calibri"/>
          <w:color w:val="000000"/>
          <w:sz w:val="22"/>
        </w:rPr>
        <w:t>Subscription plans do not yet enforce API entitlements or quotas.</w:t>
      </w:r>
    </w:p>
    <w:p>
      <w:pPr>
        <w:pStyle w:val="ListBullet"/>
        <w:keepLines/>
        <w:spacing w:after="80" w:line="300" w:lineRule="auto"/>
      </w:pPr>
      <w:r>
        <w:rPr>
          <w:rFonts w:ascii="Calibri" w:hAnsi="Calibri"/>
          <w:color w:val="000000"/>
          <w:sz w:val="22"/>
        </w:rPr>
        <w:t>Search Screening, Reports and Settings permissions are legacy entries without active menu/controller implementations.</w:t>
      </w:r>
    </w:p>
    <w:p>
      <w:pPr>
        <w:pStyle w:val="Heading2"/>
      </w:pPr>
      <w:r>
        <w:t>Recommended next project: client API</w:t>
      </w:r>
    </w:p>
    <w:tbl>
      <w:tblPr>
        <w:tblStyle w:val="TableGrid"/>
        <w:tblW w:type="dxa" w:w="9360"/>
        <w:jc w:val="left"/>
        <w:tblLayout w:type="fixed"/>
        <w:tblLook w:firstColumn="1" w:firstRow="1" w:lastColumn="0" w:lastRow="0" w:noHBand="0" w:noVBand="1" w:val="04A0"/>
        <w:tblInd w:w="120" w:type="dxa"/>
      </w:tblPr>
      <w:tblGrid>
        <w:gridCol w:w="2200"/>
        <w:gridCol w:w="2800"/>
        <w:gridCol w:w="4360"/>
      </w:tblGrid>
      <w:tr>
        <w:trPr>
          <w:tblHeader w:val="true"/>
          <w:cantSplit/>
        </w:trPr>
        <w:tc>
          <w:tcPr>
            <w:tcW w:type="dxa" w:w="2200"/>
            <w:shd w:fill="E8EEF5"/>
            <w:vAlign w:val="center"/>
            <w:tcMar>
              <w:top w:w="80" w:type="dxa"/>
              <w:start w:w="120" w:type="dxa"/>
              <w:bottom w:w="80" w:type="dxa"/>
              <w:end w:w="120" w:type="dxa"/>
            </w:tcMar>
          </w:tcPr>
          <w:p>
            <w:pPr>
              <w:spacing w:after="0"/>
              <w:jc w:val="left"/>
            </w:pPr>
            <w:r>
              <w:rPr>
                <w:rFonts w:ascii="Calibri" w:hAnsi="Calibri"/>
                <w:b/>
                <w:color w:val="0B2545"/>
                <w:sz w:val="17"/>
              </w:rPr>
              <w:t>Capability</w:t>
            </w:r>
          </w:p>
        </w:tc>
        <w:tc>
          <w:tcPr>
            <w:tcW w:type="dxa" w:w="2800"/>
            <w:shd w:fill="E8EEF5"/>
            <w:vAlign w:val="center"/>
            <w:tcMar>
              <w:top w:w="80" w:type="dxa"/>
              <w:start w:w="120" w:type="dxa"/>
              <w:bottom w:w="80" w:type="dxa"/>
              <w:end w:w="120" w:type="dxa"/>
            </w:tcMar>
          </w:tcPr>
          <w:p>
            <w:pPr>
              <w:spacing w:after="0"/>
              <w:jc w:val="left"/>
            </w:pPr>
            <w:r>
              <w:rPr>
                <w:rFonts w:ascii="Calibri" w:hAnsi="Calibri"/>
                <w:b/>
                <w:color w:val="0B2545"/>
                <w:sz w:val="17"/>
              </w:rPr>
              <w:t>Suggested endpoint</w:t>
            </w:r>
          </w:p>
        </w:tc>
        <w:tc>
          <w:tcPr>
            <w:tcW w:type="dxa" w:w="4360"/>
            <w:shd w:fill="E8EEF5"/>
            <w:vAlign w:val="center"/>
            <w:tcMar>
              <w:top w:w="80" w:type="dxa"/>
              <w:start w:w="120" w:type="dxa"/>
              <w:bottom w:w="80" w:type="dxa"/>
              <w:end w:w="120" w:type="dxa"/>
            </w:tcMar>
          </w:tcPr>
          <w:p>
            <w:pPr>
              <w:spacing w:after="0"/>
              <w:jc w:val="left"/>
            </w:pPr>
            <w:r>
              <w:rPr>
                <w:rFonts w:ascii="Calibri" w:hAnsi="Calibri"/>
                <w:b/>
                <w:color w:val="0B2545"/>
                <w:sz w:val="17"/>
              </w:rPr>
              <w:t>Use</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7"/>
              </w:rPr>
              <w:t>Customer screening</w:t>
            </w:r>
          </w:p>
        </w:tc>
        <w:tc>
          <w:tcPr>
            <w:tcW w:type="dxa" w:w="2800"/>
            <w:vAlign w:val="center"/>
            <w:tcMar>
              <w:top w:w="80" w:type="dxa"/>
              <w:start w:w="120" w:type="dxa"/>
              <w:bottom w:w="80" w:type="dxa"/>
              <w:end w:w="120" w:type="dxa"/>
            </w:tcMar>
          </w:tcPr>
          <w:p>
            <w:pPr>
              <w:spacing w:after="0" w:line="259" w:lineRule="auto"/>
            </w:pPr>
            <w:r>
              <w:rPr>
                <w:rFonts w:ascii="Calibri" w:hAnsi="Calibri"/>
                <w:color w:val="344054"/>
                <w:sz w:val="17"/>
              </w:rPr>
              <w:t>POST /api/v1/customers/screen</w:t>
            </w:r>
          </w:p>
        </w:tc>
        <w:tc>
          <w:tcPr>
            <w:tcW w:type="dxa" w:w="4360"/>
            <w:vAlign w:val="center"/>
            <w:tcMar>
              <w:top w:w="80" w:type="dxa"/>
              <w:start w:w="120" w:type="dxa"/>
              <w:bottom w:w="80" w:type="dxa"/>
              <w:end w:w="120" w:type="dxa"/>
            </w:tcMar>
          </w:tcPr>
          <w:p>
            <w:pPr>
              <w:spacing w:after="0" w:line="259" w:lineRule="auto"/>
            </w:pPr>
            <w:r>
              <w:rPr>
                <w:rFonts w:ascii="Calibri" w:hAnsi="Calibri"/>
                <w:color w:val="344054"/>
                <w:sz w:val="17"/>
              </w:rPr>
              <w:t>Screen customer/KYC identity against active list versions.</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7"/>
              </w:rPr>
              <w:t>Transaction evaluation</w:t>
            </w:r>
          </w:p>
        </w:tc>
        <w:tc>
          <w:tcPr>
            <w:tcW w:type="dxa" w:w="2800"/>
            <w:vAlign w:val="center"/>
            <w:tcMar>
              <w:top w:w="80" w:type="dxa"/>
              <w:start w:w="120" w:type="dxa"/>
              <w:bottom w:w="80" w:type="dxa"/>
              <w:end w:w="120" w:type="dxa"/>
            </w:tcMar>
          </w:tcPr>
          <w:p>
            <w:pPr>
              <w:spacing w:after="0" w:line="259" w:lineRule="auto"/>
            </w:pPr>
            <w:r>
              <w:rPr>
                <w:rFonts w:ascii="Calibri" w:hAnsi="Calibri"/>
                <w:color w:val="344054"/>
                <w:sz w:val="17"/>
              </w:rPr>
              <w:t>POST /api/v1/aml/evaluate</w:t>
            </w:r>
          </w:p>
        </w:tc>
        <w:tc>
          <w:tcPr>
            <w:tcW w:type="dxa" w:w="4360"/>
            <w:vAlign w:val="center"/>
            <w:tcMar>
              <w:top w:w="80" w:type="dxa"/>
              <w:start w:w="120" w:type="dxa"/>
              <w:bottom w:w="80" w:type="dxa"/>
              <w:end w:w="120" w:type="dxa"/>
            </w:tcMar>
          </w:tcPr>
          <w:p>
            <w:pPr>
              <w:spacing w:after="0" w:line="259" w:lineRule="auto"/>
            </w:pPr>
            <w:r>
              <w:rPr>
                <w:rFonts w:ascii="Calibri" w:hAnsi="Calibri"/>
                <w:color w:val="344054"/>
                <w:sz w:val="17"/>
              </w:rPr>
              <w:t>Idempotent evaluation returning ALLOW/REVIEW/BLOCK and evidence references.</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7"/>
              </w:rPr>
              <w:t>Evaluation lookup</w:t>
            </w:r>
          </w:p>
        </w:tc>
        <w:tc>
          <w:tcPr>
            <w:tcW w:type="dxa" w:w="2800"/>
            <w:vAlign w:val="center"/>
            <w:tcMar>
              <w:top w:w="80" w:type="dxa"/>
              <w:start w:w="120" w:type="dxa"/>
              <w:bottom w:w="80" w:type="dxa"/>
              <w:end w:w="120" w:type="dxa"/>
            </w:tcMar>
          </w:tcPr>
          <w:p>
            <w:pPr>
              <w:spacing w:after="0" w:line="259" w:lineRule="auto"/>
            </w:pPr>
            <w:r>
              <w:rPr>
                <w:rFonts w:ascii="Calibri" w:hAnsi="Calibri"/>
                <w:color w:val="344054"/>
                <w:sz w:val="17"/>
              </w:rPr>
              <w:t>GET /api/v1/evaluations/{correlationId}</w:t>
            </w:r>
          </w:p>
        </w:tc>
        <w:tc>
          <w:tcPr>
            <w:tcW w:type="dxa" w:w="4360"/>
            <w:vAlign w:val="center"/>
            <w:tcMar>
              <w:top w:w="80" w:type="dxa"/>
              <w:start w:w="120" w:type="dxa"/>
              <w:bottom w:w="80" w:type="dxa"/>
              <w:end w:w="120" w:type="dxa"/>
            </w:tcMar>
          </w:tcPr>
          <w:p>
            <w:pPr>
              <w:spacing w:after="0" w:line="259" w:lineRule="auto"/>
            </w:pPr>
            <w:r>
              <w:rPr>
                <w:rFonts w:ascii="Calibri" w:hAnsi="Calibri"/>
                <w:color w:val="344054"/>
                <w:sz w:val="17"/>
              </w:rPr>
              <w:t>Retrieve the persisted explainable result.</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7"/>
              </w:rPr>
              <w:t>Case lookup</w:t>
            </w:r>
          </w:p>
        </w:tc>
        <w:tc>
          <w:tcPr>
            <w:tcW w:type="dxa" w:w="2800"/>
            <w:vAlign w:val="center"/>
            <w:tcMar>
              <w:top w:w="80" w:type="dxa"/>
              <w:start w:w="120" w:type="dxa"/>
              <w:bottom w:w="80" w:type="dxa"/>
              <w:end w:w="120" w:type="dxa"/>
            </w:tcMar>
          </w:tcPr>
          <w:p>
            <w:pPr>
              <w:spacing w:after="0" w:line="259" w:lineRule="auto"/>
            </w:pPr>
            <w:r>
              <w:rPr>
                <w:rFonts w:ascii="Calibri" w:hAnsi="Calibri"/>
                <w:color w:val="344054"/>
                <w:sz w:val="17"/>
              </w:rPr>
              <w:t>GET /api/v1/cases/{caseReference}</w:t>
            </w:r>
          </w:p>
        </w:tc>
        <w:tc>
          <w:tcPr>
            <w:tcW w:type="dxa" w:w="4360"/>
            <w:vAlign w:val="center"/>
            <w:tcMar>
              <w:top w:w="80" w:type="dxa"/>
              <w:start w:w="120" w:type="dxa"/>
              <w:bottom w:w="80" w:type="dxa"/>
              <w:end w:w="120" w:type="dxa"/>
            </w:tcMar>
          </w:tcPr>
          <w:p>
            <w:pPr>
              <w:spacing w:after="0" w:line="259" w:lineRule="auto"/>
            </w:pPr>
            <w:r>
              <w:rPr>
                <w:rFonts w:ascii="Calibri" w:hAnsi="Calibri"/>
                <w:color w:val="344054"/>
                <w:sz w:val="17"/>
              </w:rPr>
              <w:t>Controlled client access to case status.</w:t>
            </w:r>
          </w:p>
        </w:tc>
      </w:tr>
      <w:tr>
        <w:trPr>
          <w:cantSplit/>
        </w:trPr>
        <w:tc>
          <w:tcPr>
            <w:tcW w:type="dxa" w:w="2200"/>
            <w:vAlign w:val="center"/>
            <w:tcMar>
              <w:top w:w="80" w:type="dxa"/>
              <w:start w:w="120" w:type="dxa"/>
              <w:bottom w:w="80" w:type="dxa"/>
              <w:end w:w="120" w:type="dxa"/>
            </w:tcMar>
          </w:tcPr>
          <w:p>
            <w:pPr>
              <w:spacing w:after="0" w:line="259" w:lineRule="auto"/>
            </w:pPr>
            <w:r>
              <w:rPr>
                <w:rFonts w:ascii="Calibri" w:hAnsi="Calibri"/>
                <w:color w:val="344054"/>
                <w:sz w:val="17"/>
              </w:rPr>
              <w:t>Health</w:t>
            </w:r>
          </w:p>
        </w:tc>
        <w:tc>
          <w:tcPr>
            <w:tcW w:type="dxa" w:w="2800"/>
            <w:vAlign w:val="center"/>
            <w:tcMar>
              <w:top w:w="80" w:type="dxa"/>
              <w:start w:w="120" w:type="dxa"/>
              <w:bottom w:w="80" w:type="dxa"/>
              <w:end w:w="120" w:type="dxa"/>
            </w:tcMar>
          </w:tcPr>
          <w:p>
            <w:pPr>
              <w:spacing w:after="0" w:line="259" w:lineRule="auto"/>
            </w:pPr>
            <w:r>
              <w:rPr>
                <w:rFonts w:ascii="Calibri" w:hAnsi="Calibri"/>
                <w:color w:val="344054"/>
                <w:sz w:val="17"/>
              </w:rPr>
              <w:t>GET /health</w:t>
            </w:r>
          </w:p>
        </w:tc>
        <w:tc>
          <w:tcPr>
            <w:tcW w:type="dxa" w:w="4360"/>
            <w:vAlign w:val="center"/>
            <w:tcMar>
              <w:top w:w="80" w:type="dxa"/>
              <w:start w:w="120" w:type="dxa"/>
              <w:bottom w:w="80" w:type="dxa"/>
              <w:end w:w="120" w:type="dxa"/>
            </w:tcMar>
          </w:tcPr>
          <w:p>
            <w:pPr>
              <w:spacing w:after="0" w:line="259" w:lineRule="auto"/>
            </w:pPr>
            <w:r>
              <w:rPr>
                <w:rFonts w:ascii="Calibri" w:hAnsi="Calibri"/>
                <w:color w:val="344054"/>
                <w:sz w:val="17"/>
              </w:rPr>
              <w:t>Readiness and dependency checks without exposing sensitive details.</w:t>
            </w:r>
          </w:p>
        </w:tc>
      </w:tr>
    </w:tbl>
    <w:p>
      <w:pPr>
        <w:spacing w:before="80" w:after="80"/>
      </w:pPr>
    </w:p>
    <w:p>
      <w:pPr>
        <w:keepLines w:val="0"/>
        <w:spacing w:after="120"/>
      </w:pPr>
      <w:r>
        <w:rPr>
          <w:rFonts w:ascii="Calibri" w:hAnsi="Calibri"/>
          <w:i w:val="0"/>
          <w:color w:val="000000"/>
          <w:sz w:val="22"/>
        </w:rPr>
        <w:t>The API should add client credentials, subscription/entitlement enforcement, idempotency keys, correlation middleware, API rate limits, request/decision logs, mTLS or OAuth2, health checks, telemetry and retry-safe processing. It should call shared application services rather than duplicate portal rules.</w:t>
      </w:r>
    </w:p>
    <w:p>
      <w:pPr>
        <w:pStyle w:val="Heading2"/>
      </w:pPr>
      <w:r>
        <w:t>Implementation priority</w:t>
      </w:r>
    </w:p>
    <w:p>
      <w:pPr>
        <w:spacing w:after="80" w:line="300" w:lineRule="auto"/>
        <w:numPr>
          <w:ilvl w:val="0"/>
          <w:numId w:val="15"/>
        </w:numPr>
      </w:pPr>
      <w:r>
        <w:rPr>
          <w:rFonts w:ascii="Calibri" w:hAnsi="Calibri"/>
          <w:color w:val="000000"/>
          <w:sz w:val="22"/>
        </w:rPr>
        <w:t>Separate global watchlist master data from client-private data and implement versioned imports.</w:t>
      </w:r>
    </w:p>
    <w:p>
      <w:pPr>
        <w:spacing w:after="80" w:line="300" w:lineRule="auto"/>
        <w:numPr>
          <w:ilvl w:val="0"/>
          <w:numId w:val="15"/>
        </w:numPr>
      </w:pPr>
      <w:r>
        <w:rPr>
          <w:rFonts w:ascii="Calibri" w:hAnsi="Calibri"/>
          <w:color w:val="000000"/>
          <w:sz w:val="22"/>
        </w:rPr>
        <w:t>Add maker-checker approval for rules and watchlist publication.</w:t>
      </w:r>
    </w:p>
    <w:p>
      <w:pPr>
        <w:spacing w:after="80" w:line="300" w:lineRule="auto"/>
        <w:numPr>
          <w:ilvl w:val="0"/>
          <w:numId w:val="15"/>
        </w:numPr>
      </w:pPr>
      <w:r>
        <w:rPr>
          <w:rFonts w:ascii="Calibri" w:hAnsi="Calibri"/>
          <w:color w:val="000000"/>
          <w:sz w:val="22"/>
        </w:rPr>
        <w:t>Add pagination to customers, transactions, alerts and cases.</w:t>
      </w:r>
    </w:p>
    <w:p>
      <w:pPr>
        <w:spacing w:after="80" w:line="300" w:lineRule="auto"/>
        <w:numPr>
          <w:ilvl w:val="0"/>
          <w:numId w:val="15"/>
        </w:numPr>
      </w:pPr>
      <w:r>
        <w:rPr>
          <w:rFonts w:ascii="Calibri" w:hAnsi="Calibri"/>
          <w:color w:val="000000"/>
          <w:sz w:val="22"/>
        </w:rPr>
        <w:t>Add OwnerUserId/resource authorization where users must not share client-wide operational records.</w:t>
      </w:r>
    </w:p>
    <w:p>
      <w:pPr>
        <w:spacing w:after="80" w:line="300" w:lineRule="auto"/>
        <w:numPr>
          <w:ilvl w:val="0"/>
          <w:numId w:val="15"/>
        </w:numPr>
      </w:pPr>
      <w:r>
        <w:rPr>
          <w:rFonts w:ascii="Calibri" w:hAnsi="Calibri"/>
          <w:color w:val="000000"/>
          <w:sz w:val="22"/>
        </w:rPr>
        <w:t>Add country/product/channel risk masters and validated customer risk configuration.</w:t>
      </w:r>
    </w:p>
    <w:p>
      <w:pPr>
        <w:spacing w:after="80" w:line="300" w:lineRule="auto"/>
        <w:numPr>
          <w:ilvl w:val="0"/>
          <w:numId w:val="15"/>
        </w:numPr>
      </w:pPr>
      <w:r>
        <w:rPr>
          <w:rFonts w:ascii="Calibri" w:hAnsi="Calibri"/>
          <w:color w:val="000000"/>
          <w:sz w:val="22"/>
        </w:rPr>
        <w:t>Build the separate API project with credentials, subscriptions, idempotency and integration tests.</w:t>
      </w:r>
    </w:p>
    <w:p>
      <w:pPr>
        <w:spacing w:after="80" w:line="300" w:lineRule="auto"/>
        <w:numPr>
          <w:ilvl w:val="0"/>
          <w:numId w:val="15"/>
        </w:numPr>
      </w:pPr>
      <w:r>
        <w:rPr>
          <w:rFonts w:ascii="Calibri" w:hAnsi="Calibri"/>
          <w:color w:val="000000"/>
          <w:sz w:val="22"/>
        </w:rPr>
        <w:t>Add evidence attachments, case event history and STR/SAR workflow.</w:t>
      </w:r>
    </w:p>
    <w:p>
      <w:pPr>
        <w:spacing w:after="80" w:line="300" w:lineRule="auto"/>
        <w:numPr>
          <w:ilvl w:val="0"/>
          <w:numId w:val="15"/>
        </w:numPr>
      </w:pPr>
      <w:r>
        <w:rPr>
          <w:rFonts w:ascii="Calibri" w:hAnsi="Calibri"/>
          <w:color w:val="000000"/>
          <w:sz w:val="22"/>
        </w:rPr>
        <w:t>Complete performance, security, recovery and production-readiness testing.</w:t>
      </w:r>
    </w:p>
    <w:p>
      <w:pPr>
        <w:pStyle w:val="Heading1"/>
      </w:pPr>
      <w:r>
        <w:t>Appendix A. Project structure</w:t>
      </w:r>
    </w:p>
    <w:p>
      <w:pPr>
        <w:keepNext/>
        <w:keepLines/>
        <w:spacing w:before="100" w:after="0" w:line="240" w:lineRule="auto"/>
        <w:ind w:left="259" w:right="115"/>
        <w:shd w:fill="F2F4F7"/>
        <w:pBdr>
          <w:left w:val="single" w:sz="12" w:space="6" w:color="2E74B5"/>
        </w:pBdr>
      </w:pPr>
      <w:r>
        <w:rPr>
          <w:rFonts w:ascii="Consolas" w:hAnsi="Consolas"/>
          <w:color w:val="0B2545"/>
          <w:sz w:val="16"/>
        </w:rPr>
        <w:t>AmlScreening.Domain/</w:t>
      </w:r>
    </w:p>
    <w:p>
      <w:pPr>
        <w:keepNext/>
        <w:keepLines/>
        <w:spacing w:before="0" w:after="0" w:line="240" w:lineRule="auto"/>
        <w:ind w:left="259" w:right="115"/>
        <w:shd w:fill="F2F4F7"/>
      </w:pPr>
      <w:r>
        <w:rPr>
          <w:rFonts w:ascii="Consolas" w:hAnsi="Consolas"/>
          <w:color w:val="0B2545"/>
          <w:sz w:val="16"/>
        </w:rPr>
        <w:t xml:space="preserve">    Common/                  Base entity and client ownership contracts</w:t>
      </w:r>
    </w:p>
    <w:p>
      <w:pPr>
        <w:keepNext/>
        <w:keepLines/>
        <w:spacing w:before="0" w:after="0" w:line="240" w:lineRule="auto"/>
        <w:ind w:left="259" w:right="115"/>
        <w:shd w:fill="F2F4F7"/>
      </w:pPr>
      <w:r>
        <w:rPr>
          <w:rFonts w:ascii="Consolas" w:hAnsi="Consolas"/>
          <w:color w:val="0B2545"/>
          <w:sz w:val="16"/>
        </w:rPr>
        <w:t xml:space="preserve">    Entities/                User, Client, AML record, subscription and audit entities</w:t>
      </w:r>
    </w:p>
    <w:p>
      <w:pPr>
        <w:keepNext/>
        <w:keepLines/>
        <w:spacing w:before="0" w:after="0" w:line="240" w:lineRule="auto"/>
        <w:ind w:left="259" w:right="115"/>
        <w:shd w:fill="F2F4F7"/>
      </w:pPr>
      <w:r>
        <w:rPr>
          <w:rFonts w:ascii="Consolas" w:hAnsi="Consolas"/>
          <w:color w:val="0B2545"/>
          <w:sz w:val="16"/>
        </w:rPr>
        <w:t xml:space="preserve">    Entities/Compliance/     Rules, customers, transactions, matches, risks, decisions, alerts, cases</w:t>
      </w:r>
    </w:p>
    <w:p>
      <w:pPr>
        <w:keepNext/>
        <w:keepLines/>
        <w:spacing w:before="0" w:after="0" w:line="240" w:lineRule="auto"/>
        <w:ind w:left="259" w:right="115"/>
        <w:shd w:fill="F2F4F7"/>
      </w:pPr>
      <w:r>
        <w:rPr>
          <w:rFonts w:ascii="Consolas" w:hAnsi="Consolas"/>
          <w:color w:val="0B2545"/>
          <w:sz w:val="16"/>
        </w:rPr>
        <w:t xml:space="preserve"> </w:t>
      </w:r>
    </w:p>
    <w:p>
      <w:pPr>
        <w:keepNext/>
        <w:keepLines/>
        <w:spacing w:before="0" w:after="0" w:line="240" w:lineRule="auto"/>
        <w:ind w:left="259" w:right="115"/>
        <w:shd w:fill="F2F4F7"/>
      </w:pPr>
      <w:r>
        <w:rPr>
          <w:rFonts w:ascii="Consolas" w:hAnsi="Consolas"/>
          <w:color w:val="0B2545"/>
          <w:sz w:val="16"/>
        </w:rPr>
        <w:t>AmlScreening.Application/</w:t>
      </w:r>
    </w:p>
    <w:p>
      <w:pPr>
        <w:keepNext/>
        <w:keepLines/>
        <w:spacing w:before="0" w:after="0" w:line="240" w:lineRule="auto"/>
        <w:ind w:left="259" w:right="115"/>
        <w:shd w:fill="F2F4F7"/>
      </w:pPr>
      <w:r>
        <w:rPr>
          <w:rFonts w:ascii="Consolas" w:hAnsi="Consolas"/>
          <w:color w:val="0B2545"/>
          <w:sz w:val="16"/>
        </w:rPr>
        <w:t xml:space="preserve">    Interface/               Service and repository contracts</w:t>
      </w:r>
    </w:p>
    <w:p>
      <w:pPr>
        <w:keepNext/>
        <w:keepLines/>
        <w:spacing w:before="0" w:after="0" w:line="240" w:lineRule="auto"/>
        <w:ind w:left="259" w:right="115"/>
        <w:shd w:fill="F2F4F7"/>
      </w:pPr>
      <w:r>
        <w:rPr>
          <w:rFonts w:ascii="Consolas" w:hAnsi="Consolas"/>
          <w:color w:val="0B2545"/>
          <w:sz w:val="16"/>
        </w:rPr>
        <w:t xml:space="preserve">    Models/                  Login, paging, menu, audit and workflow result models</w:t>
      </w:r>
    </w:p>
    <w:p>
      <w:pPr>
        <w:keepNext/>
        <w:keepLines/>
        <w:spacing w:before="0" w:after="0" w:line="240" w:lineRule="auto"/>
        <w:ind w:left="259" w:right="115"/>
        <w:shd w:fill="F2F4F7"/>
      </w:pPr>
      <w:r>
        <w:rPr>
          <w:rFonts w:ascii="Consolas" w:hAnsi="Consolas"/>
          <w:color w:val="0B2545"/>
          <w:sz w:val="16"/>
        </w:rPr>
        <w:t xml:space="preserve">    Security/                Claim names and centralized permission constants</w:t>
      </w:r>
    </w:p>
    <w:p>
      <w:pPr>
        <w:keepNext/>
        <w:keepLines/>
        <w:spacing w:before="0" w:after="0" w:line="240" w:lineRule="auto"/>
        <w:ind w:left="259" w:right="115"/>
        <w:shd w:fill="F2F4F7"/>
      </w:pPr>
      <w:r>
        <w:rPr>
          <w:rFonts w:ascii="Consolas" w:hAnsi="Consolas"/>
          <w:color w:val="0B2545"/>
          <w:sz w:val="16"/>
        </w:rPr>
        <w:t xml:space="preserve">    Services/                Authentication orchestration</w:t>
      </w:r>
    </w:p>
    <w:p>
      <w:pPr>
        <w:keepNext/>
        <w:keepLines/>
        <w:spacing w:before="0" w:after="0" w:line="240" w:lineRule="auto"/>
        <w:ind w:left="259" w:right="115"/>
        <w:shd w:fill="F2F4F7"/>
      </w:pPr>
      <w:r>
        <w:rPr>
          <w:rFonts w:ascii="Consolas" w:hAnsi="Consolas"/>
          <w:color w:val="0B2545"/>
          <w:sz w:val="16"/>
        </w:rPr>
        <w:t xml:space="preserve"> </w:t>
      </w:r>
    </w:p>
    <w:p>
      <w:pPr>
        <w:keepNext/>
        <w:keepLines/>
        <w:spacing w:before="0" w:after="0" w:line="240" w:lineRule="auto"/>
        <w:ind w:left="259" w:right="115"/>
        <w:shd w:fill="F2F4F7"/>
      </w:pPr>
      <w:r>
        <w:rPr>
          <w:rFonts w:ascii="Consolas" w:hAnsi="Consolas"/>
          <w:color w:val="0B2545"/>
          <w:sz w:val="16"/>
        </w:rPr>
        <w:t>AmlScreening.Infrastructure/</w:t>
      </w:r>
    </w:p>
    <w:p>
      <w:pPr>
        <w:keepNext/>
        <w:keepLines/>
        <w:spacing w:before="0" w:after="0" w:line="240" w:lineRule="auto"/>
        <w:ind w:left="259" w:right="115"/>
        <w:shd w:fill="F2F4F7"/>
      </w:pPr>
      <w:r>
        <w:rPr>
          <w:rFonts w:ascii="Consolas" w:hAnsi="Consolas"/>
          <w:color w:val="0B2545"/>
          <w:sz w:val="16"/>
        </w:rPr>
        <w:t xml:space="preserve">    Data/                    EF Core DbContext and query filters</w:t>
      </w:r>
    </w:p>
    <w:p>
      <w:pPr>
        <w:keepNext/>
        <w:keepLines/>
        <w:spacing w:before="0" w:after="0" w:line="240" w:lineRule="auto"/>
        <w:ind w:left="259" w:right="115"/>
        <w:shd w:fill="F2F4F7"/>
      </w:pPr>
      <w:r>
        <w:rPr>
          <w:rFonts w:ascii="Consolas" w:hAnsi="Consolas"/>
          <w:color w:val="0B2545"/>
          <w:sz w:val="16"/>
        </w:rPr>
        <w:t xml:space="preserve">    Persistence/             SQL connection factory</w:t>
      </w:r>
    </w:p>
    <w:p>
      <w:pPr>
        <w:keepNext/>
        <w:keepLines/>
        <w:spacing w:before="0" w:after="0" w:line="240" w:lineRule="auto"/>
        <w:ind w:left="259" w:right="115"/>
        <w:shd w:fill="F2F4F7"/>
      </w:pPr>
      <w:r>
        <w:rPr>
          <w:rFonts w:ascii="Consolas" w:hAnsi="Consolas"/>
          <w:color w:val="0B2545"/>
          <w:sz w:val="16"/>
        </w:rPr>
        <w:t xml:space="preserve">    Repositories/            AML, users, roles, subscriptions and rules</w:t>
      </w:r>
    </w:p>
    <w:p>
      <w:pPr>
        <w:keepNext/>
        <w:keepLines/>
        <w:spacing w:before="0" w:after="0" w:line="240" w:lineRule="auto"/>
        <w:ind w:left="259" w:right="115"/>
        <w:shd w:fill="F2F4F7"/>
      </w:pPr>
      <w:r>
        <w:rPr>
          <w:rFonts w:ascii="Consolas" w:hAnsi="Consolas"/>
          <w:color w:val="0B2545"/>
          <w:sz w:val="16"/>
        </w:rPr>
        <w:t xml:space="preserve">    Services/                Menu, audit and AML workflow engine</w:t>
      </w:r>
    </w:p>
    <w:p>
      <w:pPr>
        <w:keepNext/>
        <w:keepLines/>
        <w:spacing w:before="0" w:after="0" w:line="240" w:lineRule="auto"/>
        <w:ind w:left="259" w:right="115"/>
        <w:shd w:fill="F2F4F7"/>
      </w:pPr>
      <w:r>
        <w:rPr>
          <w:rFonts w:ascii="Consolas" w:hAnsi="Consolas"/>
          <w:color w:val="0B2545"/>
          <w:sz w:val="16"/>
        </w:rPr>
        <w:t xml:space="preserve"> </w:t>
      </w:r>
    </w:p>
    <w:p>
      <w:pPr>
        <w:keepNext/>
        <w:keepLines/>
        <w:spacing w:before="0" w:after="0" w:line="240" w:lineRule="auto"/>
        <w:ind w:left="259" w:right="115"/>
        <w:shd w:fill="F2F4F7"/>
      </w:pPr>
      <w:r>
        <w:rPr>
          <w:rFonts w:ascii="Consolas" w:hAnsi="Consolas"/>
          <w:color w:val="0B2545"/>
          <w:sz w:val="16"/>
        </w:rPr>
        <w:t>AmlScreening/</w:t>
      </w:r>
    </w:p>
    <w:p>
      <w:pPr>
        <w:keepNext/>
        <w:keepLines/>
        <w:spacing w:before="0" w:after="0" w:line="240" w:lineRule="auto"/>
        <w:ind w:left="259" w:right="115"/>
        <w:shd w:fill="F2F4F7"/>
      </w:pPr>
      <w:r>
        <w:rPr>
          <w:rFonts w:ascii="Consolas" w:hAnsi="Consolas"/>
          <w:color w:val="0B2545"/>
          <w:sz w:val="16"/>
        </w:rPr>
        <w:t xml:space="preserve">    Controllers/             MVC endpoints and permission policies</w:t>
      </w:r>
    </w:p>
    <w:p>
      <w:pPr>
        <w:keepNext/>
        <w:keepLines/>
        <w:spacing w:before="0" w:after="0" w:line="240" w:lineRule="auto"/>
        <w:ind w:left="259" w:right="115"/>
        <w:shd w:fill="F2F4F7"/>
      </w:pPr>
      <w:r>
        <w:rPr>
          <w:rFonts w:ascii="Consolas" w:hAnsi="Consolas"/>
          <w:color w:val="0B2545"/>
          <w:sz w:val="16"/>
        </w:rPr>
        <w:t xml:space="preserve">    ViewModels/              Form and page models</w:t>
      </w:r>
    </w:p>
    <w:p>
      <w:pPr>
        <w:keepNext/>
        <w:keepLines/>
        <w:spacing w:before="0" w:after="0" w:line="240" w:lineRule="auto"/>
        <w:ind w:left="259" w:right="115"/>
        <w:shd w:fill="F2F4F7"/>
      </w:pPr>
      <w:r>
        <w:rPr>
          <w:rFonts w:ascii="Consolas" w:hAnsi="Consolas"/>
          <w:color w:val="0B2545"/>
          <w:sz w:val="16"/>
        </w:rPr>
        <w:t xml:space="preserve">    Views/                   Razor pages and shared forms/layout</w:t>
      </w:r>
    </w:p>
    <w:p>
      <w:pPr>
        <w:keepNext/>
        <w:keepLines/>
        <w:spacing w:before="0" w:after="0" w:line="240" w:lineRule="auto"/>
        <w:ind w:left="259" w:right="115"/>
        <w:shd w:fill="F2F4F7"/>
      </w:pPr>
      <w:r>
        <w:rPr>
          <w:rFonts w:ascii="Consolas" w:hAnsi="Consolas"/>
          <w:color w:val="0B2545"/>
          <w:sz w:val="16"/>
        </w:rPr>
        <w:t xml:space="preserve">    Services/                CurrentUserContext</w:t>
      </w:r>
    </w:p>
    <w:p>
      <w:pPr>
        <w:keepNext/>
        <w:keepLines/>
        <w:spacing w:before="0" w:after="0" w:line="240" w:lineRule="auto"/>
        <w:ind w:left="259" w:right="115"/>
        <w:shd w:fill="F2F4F7"/>
      </w:pPr>
      <w:r>
        <w:rPr>
          <w:rFonts w:ascii="Consolas" w:hAnsi="Consolas"/>
          <w:color w:val="0B2545"/>
          <w:sz w:val="16"/>
        </w:rPr>
        <w:t xml:space="preserve">    Security/                Resource authorization handler</w:t>
      </w:r>
    </w:p>
    <w:p>
      <w:pPr>
        <w:keepNext/>
        <w:keepLines/>
        <w:spacing w:before="0" w:after="0" w:line="240" w:lineRule="auto"/>
        <w:ind w:left="259" w:right="115"/>
        <w:shd w:fill="F2F4F7"/>
      </w:pPr>
      <w:r>
        <w:rPr>
          <w:rFonts w:ascii="Consolas" w:hAnsi="Consolas"/>
          <w:color w:val="0B2545"/>
          <w:sz w:val="16"/>
        </w:rPr>
        <w:t xml:space="preserve">    wwwroot/css/             Portal visual styles</w:t>
      </w:r>
    </w:p>
    <w:p>
      <w:pPr>
        <w:keepNext/>
        <w:keepLines/>
        <w:spacing w:before="0" w:after="0" w:line="240" w:lineRule="auto"/>
        <w:ind w:left="259" w:right="115"/>
        <w:shd w:fill="F2F4F7"/>
      </w:pPr>
      <w:r>
        <w:rPr>
          <w:rFonts w:ascii="Consolas" w:hAnsi="Consolas"/>
          <w:color w:val="0B2545"/>
          <w:sz w:val="16"/>
        </w:rPr>
        <w:t xml:space="preserve"> </w:t>
      </w:r>
    </w:p>
    <w:p>
      <w:pPr>
        <w:keepNext/>
        <w:keepLines/>
        <w:spacing w:before="0" w:after="0" w:line="240" w:lineRule="auto"/>
        <w:ind w:left="259" w:right="115"/>
        <w:shd w:fill="F2F4F7"/>
      </w:pPr>
      <w:r>
        <w:rPr>
          <w:rFonts w:ascii="Consolas" w:hAnsi="Consolas"/>
          <w:color w:val="0B2545"/>
          <w:sz w:val="16"/>
        </w:rPr>
        <w:t>Database/                    Migration and deployment scripts</w:t>
      </w:r>
    </w:p>
    <w:p>
      <w:pPr>
        <w:keepNext/>
        <w:keepLines/>
        <w:spacing w:before="0" w:after="0" w:line="240" w:lineRule="auto"/>
        <w:ind w:left="259" w:right="115"/>
        <w:shd w:fill="F2F4F7"/>
      </w:pPr>
      <w:r>
        <w:rPr>
          <w:rFonts w:ascii="Consolas" w:hAnsi="Consolas"/>
          <w:color w:val="0B2545"/>
          <w:sz w:val="16"/>
        </w:rPr>
        <w:t>AmlScreening.IntegrationTests/  Automated repository/schema/isolation tests</w:t>
      </w:r>
    </w:p>
    <w:p>
      <w:pPr>
        <w:keepNext w:val="0"/>
        <w:keepLines/>
        <w:spacing w:before="0" w:after="160" w:line="240" w:lineRule="auto"/>
        <w:ind w:left="259" w:right="115"/>
        <w:shd w:fill="F2F4F7"/>
      </w:pPr>
      <w:r>
        <w:rPr>
          <w:rFonts w:ascii="Consolas" w:hAnsi="Consolas"/>
          <w:color w:val="0B2545"/>
          <w:sz w:val="16"/>
        </w:rPr>
        <w:t>AmlScreening.DatabaseMigrator/  Controlled SQL script runner</w:t>
      </w:r>
    </w:p>
    <w:p>
      <w:pPr>
        <w:pStyle w:val="Heading1"/>
      </w:pPr>
      <w:r>
        <w:t>Appendix B. Database scripts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jc w:val="left"/>
            </w:pPr>
            <w:r>
              <w:rPr>
                <w:rFonts w:ascii="Calibri" w:hAnsi="Calibri"/>
                <w:b/>
                <w:color w:val="0B2545"/>
                <w:sz w:val="18"/>
              </w:rPr>
              <w:t>Script</w:t>
            </w:r>
          </w:p>
        </w:tc>
        <w:tc>
          <w:tcPr>
            <w:tcW w:type="dxa" w:w="6360"/>
            <w:shd w:fill="E8EEF5"/>
            <w:vAlign w:val="center"/>
            <w:tcMar>
              <w:top w:w="80" w:type="dxa"/>
              <w:start w:w="120" w:type="dxa"/>
              <w:bottom w:w="80" w:type="dxa"/>
              <w:end w:w="120" w:type="dxa"/>
            </w:tcMar>
          </w:tcPr>
          <w:p>
            <w:pPr>
              <w:spacing w:after="0"/>
              <w:jc w:val="left"/>
            </w:pPr>
            <w:r>
              <w:rPr>
                <w:rFonts w:ascii="Calibri" w:hAnsi="Calibri"/>
                <w:b/>
                <w:color w:val="0B2545"/>
                <w:sz w:val="18"/>
              </w:rPr>
              <w:t>Purpose</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AmlRecords.sql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Base AML record table definition and seed-friendly structure.</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AmlRecords.SoftDelete.sql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Adds soft-delete support to existing AML records.</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ClientIsolation.sql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Adds Clients, ClientId, OwnerUserId and client-scoped indexes/foreign keys.</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AuditLogs.sql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Creates or synchronizes audit storage.</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RolesPermissions.sql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Creates permission tables and seeds application permissions and baseline roles.</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MenuItems.sql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Creates and seeds the active database-driven navigation tree.</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ComplianceRules.sql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Creates the compliance rules table for a new database.</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PortalAmlWorkflow.sql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Synchronizes required columns and creates Customers, Transactions, Matches, Risks, Decisions, Alerts and Cases.</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PlatformHardening.sql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Broader hardening/reference script; review carefully before use on an existing database.</w:t>
            </w:r>
          </w:p>
        </w:tc>
      </w:tr>
    </w:tbl>
    <w:p>
      <w:pPr>
        <w:spacing w:before="80" w:after="80"/>
      </w:pPr>
    </w:p>
    <w:p>
      <w:pPr>
        <w:pStyle w:val="Heading1"/>
      </w:pPr>
      <w:r>
        <w:t>Appendix C. Status glossary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jc w:val="left"/>
            </w:pPr>
            <w:r>
              <w:rPr>
                <w:rFonts w:ascii="Calibri" w:hAnsi="Calibri"/>
                <w:b/>
                <w:color w:val="0B2545"/>
                <w:sz w:val="18"/>
              </w:rPr>
              <w:t>Term</w:t>
            </w:r>
          </w:p>
        </w:tc>
        <w:tc>
          <w:tcPr>
            <w:tcW w:type="dxa" w:w="6360"/>
            <w:shd w:fill="E8EEF5"/>
            <w:vAlign w:val="center"/>
            <w:tcMar>
              <w:top w:w="80" w:type="dxa"/>
              <w:start w:w="120" w:type="dxa"/>
              <w:bottom w:w="80" w:type="dxa"/>
              <w:end w:w="120" w:type="dxa"/>
            </w:tcMar>
          </w:tcPr>
          <w:p>
            <w:pPr>
              <w:spacing w:after="0"/>
              <w:jc w:val="left"/>
            </w:pPr>
            <w:r>
              <w:rPr>
                <w:rFonts w:ascii="Calibri" w:hAnsi="Calibri"/>
                <w:b/>
                <w:color w:val="0B2545"/>
                <w:sz w:val="18"/>
              </w:rPr>
              <w:t>Meaning</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NEW</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Transaction captured but not yet evaluated.</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CLEAR</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No qualifying AML screening match.</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POTENTIAL_MATCH</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Screening score between 75 and below 95.</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CONFIRMED_MATCH</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Screening score of 95 or higher in the prototype.</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ALLOW</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Transaction cleared by current screening/risk/rule logic.</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REVIEW</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Transaction held for analyst investigation.</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BLOCK</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Confirmed match or blocking rule action.</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LOW / MEDIUM / HIGH / CRITICAL</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Risk bands for scores 0-29 / 30-59 / 60-79 / 80-100.</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DeleteFg = Y</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Soft-deleted record retained for evidence but hidden from normal queries.</w:t>
            </w:r>
          </w:p>
        </w:tc>
      </w:tr>
      <w:tr>
        <w:trPr>
          <w:cantSplit/>
        </w:trPr>
        <w:tc>
          <w:tcPr>
            <w:tcW w:type="dxa" w:w="3000"/>
            <w:vAlign w:val="center"/>
            <w:tcMar>
              <w:top w:w="80" w:type="dxa"/>
              <w:start w:w="120" w:type="dxa"/>
              <w:bottom w:w="80" w:type="dxa"/>
              <w:end w:w="120" w:type="dxa"/>
            </w:tcMar>
          </w:tcPr>
          <w:p>
            <w:pPr>
              <w:spacing w:after="0" w:line="259" w:lineRule="auto"/>
            </w:pPr>
            <w:r>
              <w:rPr>
                <w:rFonts w:ascii="Calibri" w:hAnsi="Calibri"/>
                <w:color w:val="344054"/>
                <w:sz w:val="18"/>
              </w:rPr>
              <w:t>RowVersion</w:t>
            </w:r>
          </w:p>
        </w:tc>
        <w:tc>
          <w:tcPr>
            <w:tcW w:type="dxa" w:w="6360"/>
            <w:vAlign w:val="center"/>
            <w:tcMar>
              <w:top w:w="80" w:type="dxa"/>
              <w:start w:w="120" w:type="dxa"/>
              <w:bottom w:w="80" w:type="dxa"/>
              <w:end w:w="120" w:type="dxa"/>
            </w:tcMar>
          </w:tcPr>
          <w:p>
            <w:pPr>
              <w:spacing w:after="0" w:line="259" w:lineRule="auto"/>
            </w:pPr>
            <w:r>
              <w:rPr>
                <w:rFonts w:ascii="Calibri" w:hAnsi="Calibri"/>
                <w:color w:val="344054"/>
                <w:sz w:val="18"/>
              </w:rPr>
              <w:t>SQL Server concurrency token used to detect stale edits.</w:t>
            </w:r>
          </w:p>
        </w:tc>
      </w:tr>
    </w:tbl>
    <w:p>
      <w:pPr>
        <w:spacing w:before="80" w:after="80"/>
      </w:pPr>
    </w:p>
    <w:p>
      <w:pPr>
        <w:pStyle w:val="Heading1"/>
      </w:pPr>
      <w:r>
        <w:t>Conclusion</w:t>
      </w:r>
    </w:p>
    <w:p>
      <w:pPr>
        <w:keepLines w:val="0"/>
        <w:spacing w:after="120"/>
      </w:pPr>
      <w:r>
        <w:rPr>
          <w:rFonts w:ascii="Calibri" w:hAnsi="Calibri"/>
          <w:i w:val="0"/>
          <w:color w:val="000000"/>
          <w:sz w:val="22"/>
        </w:rPr>
        <w:t>The portal now provides a coherent multi-client AML operations prototype: controlled login, database-driven permissions and menus, watchlist records, KYC customers, transactions, explainable risk and decisions, alerts, cases and audit history. The next major boundary is the client API and production-grade data governance. Future development should preserve the current client isolation, permission policies, audit evidence and explainability rather than bypassing them in new controllers, SQL procedures or API endpoints.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AML Screening Portal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abstractNum w:abstractNumId="11">
    <w:multiLevelType w:val="singleLevel"/>
    <w:lvl w:ilvl="0">
      <w:start w:val="1"/>
      <w:numFmt w:val="decimal"/>
      <w:lvlText w:val="%1."/>
      <w:lvlJc w:val="left"/>
      <w:pPr>
        <w:tabs>
          <w:tab w:val="num" w:pos="540"/>
        </w:tabs>
        <w:ind w:left="540" w:hanging="270"/>
        <w:spacing w:after="80" w:line="300" w:lineRule="auto"/>
      </w:pPr>
    </w:lvl>
  </w:abstractNum>
  <w:abstractNum w:abstractNumId="12">
    <w:multiLevelType w:val="singleLevel"/>
    <w:lvl w:ilvl="0">
      <w:start w:val="1"/>
      <w:numFmt w:val="decimal"/>
      <w:lvlText w:val="%1."/>
      <w:lvlJc w:val="left"/>
      <w:pPr>
        <w:tabs>
          <w:tab w:val="num" w:pos="540"/>
        </w:tabs>
        <w:ind w:left="540" w:hanging="270"/>
        <w:spacing w:after="80" w:line="300" w:lineRule="auto"/>
      </w:pPr>
    </w:lvl>
  </w:abstractNum>
  <w:abstractNum w:abstractNumId="13">
    <w:multiLevelType w:val="singleLevel"/>
    <w:lvl w:ilvl="0">
      <w:start w:val="1"/>
      <w:numFmt w:val="decimal"/>
      <w:lvlText w:val="%1."/>
      <w:lvlJc w:val="left"/>
      <w:pPr>
        <w:tabs>
          <w:tab w:val="num" w:pos="540"/>
        </w:tabs>
        <w:ind w:left="540" w:hanging="270"/>
        <w:spacing w:after="80" w:line="300" w:lineRule="auto"/>
      </w:pPr>
    </w:lvl>
  </w:abstract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Screening Portal Project Documentation</dc:title>
  <dc:subject>Architecture, menus, database, stored procedures and workflow</dc:subject>
  <dc:creator>AML Screening Project Team</dc:creator>
  <cp:keywords>AML, compliance, portal, SQL Server, permissions, workflow</cp:keywords>
  <dc:description>Generated from the implemented project and live development database catalog.</dc:description>
  <cp:lastModifiedBy/>
  <cp:revision>1</cp:revision>
  <dcterms:created xsi:type="dcterms:W3CDTF">2013-12-23T23:15:00Z</dcterms:created>
  <dcterms:modified xsi:type="dcterms:W3CDTF">2013-12-23T23:15:00Z</dcterms:modified>
  <cp:category/>
</cp:coreProperties>
</file>