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黑体"/>
          <w:b/>
          <w:color w:val="0B3D91"/>
          <w:sz w:val="52"/>
        </w:rPr>
        <w:t>GW-1 零碳辐射制冷涂料</w:t>
      </w:r>
    </w:p>
    <w:p>
      <w:pPr>
        <w:jc w:val="center"/>
      </w:pPr>
      <w:r>
        <w:rPr>
          <w:rFonts w:ascii="Calibri" w:hAnsi="Calibri" w:eastAsia="黑体"/>
          <w:b/>
          <w:color w:val="0E6BA8"/>
          <w:sz w:val="44"/>
        </w:rPr>
        <w:t>商业计划书与可行性研究报告 v2.0</w:t>
      </w:r>
    </w:p>
    <w:p>
      <w:pPr>
        <w:jc w:val="center"/>
      </w:pPr>
      <w:r>
        <w:rPr>
          <w:rFonts w:ascii="Calibri" w:hAnsi="Calibri" w:eastAsia="黑体"/>
          <w:b/>
          <w:color w:val="2A9D8F"/>
          <w:sz w:val="36"/>
        </w:rPr>
        <w:t>【OEM 轻资产模式升级版】</w:t>
      </w:r>
    </w:p>
    <w:p>
      <w:pPr>
        <w:spacing w:after="400"/>
        <w:jc w:val="center"/>
      </w:pPr>
      <w:r>
        <w:rPr>
          <w:rFonts w:ascii="Calibri" w:hAnsi="Calibri" w:eastAsia="Calibri"/>
          <w:b w:val="0"/>
          <w:color w:val="6C757D"/>
          <w:sz w:val="28"/>
        </w:rPr>
        <w:t>Feasibility Study — OEM Manufacturing Strategy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4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1_oem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4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Calibri" w:hAnsi="Calibri" w:eastAsia="黑体"/>
                <w:b/>
                <w:color w:val="0B3D91"/>
                <w:sz w:val="22"/>
              </w:rPr>
            </w:r>
            <w:r>
              <w:rPr>
                <w:rFonts w:ascii="Calibri" w:hAnsi="Calibri" w:eastAsia="黑体"/>
                <w:b/>
                <w:color w:val="0B3D91"/>
                <w:sz w:val="22"/>
              </w:rPr>
              <w:t>项目代号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宋体"/>
                <w:b w:val="0"/>
                <w:sz w:val="22"/>
              </w:rPr>
            </w:r>
            <w:r>
              <w:rPr>
                <w:rFonts w:ascii="Calibri" w:hAnsi="Calibri" w:eastAsia="宋体"/>
                <w:b w:val="0"/>
                <w:sz w:val="22"/>
              </w:rPr>
              <w:t>GW-1 / Zero-Carbon Radiative Cooling Coating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黑体"/>
                <w:b/>
                <w:color w:val="0B3D91"/>
                <w:sz w:val="22"/>
              </w:rPr>
            </w:r>
            <w:r>
              <w:rPr>
                <w:rFonts w:ascii="Calibri" w:hAnsi="Calibri" w:eastAsia="黑体"/>
                <w:b/>
                <w:color w:val="0B3D91"/>
                <w:sz w:val="22"/>
              </w:rPr>
              <w:t>生产模式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宋体"/>
                <w:b w:val="0"/>
                <w:sz w:val="22"/>
              </w:rPr>
            </w:r>
            <w:r>
              <w:rPr>
                <w:rFonts w:ascii="Calibri" w:hAnsi="Calibri" w:eastAsia="宋体"/>
                <w:b w:val="0"/>
                <w:sz w:val="22"/>
              </w:rPr>
              <w:t>★ OEM 委托代工（不自建涂料厂）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黑体"/>
                <w:b/>
                <w:color w:val="0B3D91"/>
                <w:sz w:val="22"/>
              </w:rPr>
            </w:r>
            <w:r>
              <w:rPr>
                <w:rFonts w:ascii="Calibri" w:hAnsi="Calibri" w:eastAsia="黑体"/>
                <w:b/>
                <w:color w:val="0B3D91"/>
                <w:sz w:val="22"/>
              </w:rPr>
              <w:t>升级亮点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宋体"/>
                <w:b w:val="0"/>
                <w:sz w:val="22"/>
              </w:rPr>
            </w:r>
            <w:r>
              <w:rPr>
                <w:rFonts w:ascii="Calibri" w:hAnsi="Calibri" w:eastAsia="宋体"/>
                <w:b w:val="0"/>
                <w:sz w:val="22"/>
              </w:rPr>
              <w:t>5 年累计 CAPEX 节省 2.30 亿；IRR 提升至 99.7%；ROIC 翻 2.5 倍至 63.1%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黑体"/>
                <w:b/>
                <w:color w:val="0B3D91"/>
                <w:sz w:val="22"/>
              </w:rPr>
            </w:r>
            <w:r>
              <w:rPr>
                <w:rFonts w:ascii="Calibri" w:hAnsi="Calibri" w:eastAsia="黑体"/>
                <w:b/>
                <w:color w:val="0B3D91"/>
                <w:sz w:val="22"/>
              </w:rPr>
              <w:t>基线 NPV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宋体"/>
                <w:b w:val="0"/>
                <w:sz w:val="22"/>
              </w:rPr>
            </w:r>
            <w:r>
              <w:rPr>
                <w:rFonts w:ascii="Calibri" w:hAnsi="Calibri" w:eastAsia="宋体"/>
                <w:b w:val="0"/>
                <w:sz w:val="22"/>
              </w:rPr>
              <w:t>21.06 亿元（5 年 + 永续）；蒙特卡洛中位 12.0 亿，P5 -1.2 亿，P95 29.2 亿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黑体"/>
                <w:b/>
                <w:color w:val="0B3D91"/>
                <w:sz w:val="22"/>
              </w:rPr>
            </w:r>
            <w:r>
              <w:rPr>
                <w:rFonts w:ascii="Calibri" w:hAnsi="Calibri" w:eastAsia="黑体"/>
                <w:b/>
                <w:color w:val="0B3D91"/>
                <w:sz w:val="22"/>
              </w:rPr>
              <w:t>成功概率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宋体"/>
                <w:b w:val="0"/>
                <w:sz w:val="22"/>
              </w:rPr>
            </w:r>
            <w:r>
              <w:rPr>
                <w:rFonts w:ascii="Calibri" w:hAnsi="Calibri" w:eastAsia="宋体"/>
                <w:b w:val="0"/>
                <w:sz w:val="22"/>
              </w:rPr>
              <w:t>P(NPV&gt;0) = 91.9%；P(强成功) = 58.3%；P(破产) ≤ 5.5%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黑体"/>
                <w:b/>
                <w:color w:val="0B3D91"/>
                <w:sz w:val="22"/>
              </w:rPr>
            </w:r>
            <w:r>
              <w:rPr>
                <w:rFonts w:ascii="Calibri" w:hAnsi="Calibri" w:eastAsia="黑体"/>
                <w:b/>
                <w:color w:val="0B3D91"/>
                <w:sz w:val="22"/>
              </w:rPr>
              <w:t>Y5 估值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宋体"/>
                <w:b w:val="0"/>
                <w:sz w:val="22"/>
              </w:rPr>
            </w:r>
            <w:r>
              <w:rPr>
                <w:rFonts w:ascii="Calibri" w:hAnsi="Calibri" w:eastAsia="宋体"/>
                <w:b w:val="0"/>
                <w:sz w:val="22"/>
              </w:rPr>
              <w:t>基线 49.21 亿（PE×PS 平均）；激进弹性 100.11 亿；蒙特卡洛中位 45 亿</w:t>
            </w:r>
          </w:p>
        </w:tc>
      </w:tr>
    </w:tbl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执行摘要 EXECUTIVE SUMMARY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本《商业计划书可行性研究报告 v2.0》在原对外可研报告（v1.0，自建产能模式）的基础上，根据项目方决定 — 不自建涂料厂、采用 OEM 委托代工生产 — 进行了全面升级与重构。核心财务模型、CAPEX/COGS 结构、风险体系、估值倍数、退出路径均按'轻资产 + 品牌/IP/渠道驱动'的新模式重新建模与仿真，并新增 OEM 战略章节（供应商网络评估、治理框架、质量管控）。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升级版三大核心结论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结论一【更优财务回报】：OEM 模式下 5 年累计 CAPEX 仅 0.80 亿（自建 3.10 亿，节省 74%）；IRR 由 73.7% → 99.7%；回收期由 5 年 → 4 年；ROIC 由 26.1% → 63.1%（提升 2.4 倍）；Y5 市值估算由 36.94 亿 → 49.21 亿（提升 33%）。NPV 略降（23.08 → 21.06 亿）但风险/资本占用大幅下降。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结论二【更高资本效率与估值溢价】：轻资产模式被资本市场给予更高的 PS / PE 倍数（PE 25× vs 自建 20×；PS 6× vs 自建 3.5×）。激进弹性情景下 Y5 估值可达 100.11 亿。蒙特卡洛 50,000 次仿真显示 P(NPV&gt;0)=91.9%，P(强成功)=58.3%。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结论三【可控的新增风险】：OEM 模式新增'质量管控'与'IP 配方泄密'两类风险，但通过四道防线（合同约束 + 流程隔离 + 监督检测 + 风险对冲）将质量事故概率从行业基准 8-12% 压低到 5%。从 12 家潜在供应商中筛选出 6 家'★ 战略联盟'级，推荐采用 2 主供 + 1 备选 + 应急方案的多源策略。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★★★ 终极推荐 ★★★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37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生产模式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OEM-C 战略代工（深度绑定）+ OEM-A 委托代工（甲方供母液）混合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主供应商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三棵树（综合 8.80）+ 嘉宝莉（8.52）双主供，一南一北全国覆盖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备选供应商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东方雨虹（8.40）+ 亚士创能（8.37）+ 巴德富（8.25）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CAPEX 配置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 年累计 0.80 亿（中试线/QC实验室/品牌办公）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产能弹性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通过 OEM 网络可达 25 万吨/年应急产能（自建仅 1.5 万吨/年）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基线 IRR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99.7%（蒙特卡洛中位 78.0%；P5 仍 30%+）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Y5 估值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基线 49.21 亿；激进 100.11 亿；蒙特卡洛中位 45.06 亿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成功概率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P(NPV&gt;0)=91.9%；P(NPV&gt;10亿且IRR&gt;30%)=58.3%；P(破产)&lt;5.5%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退出路径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首选：A 股科创板/北交所 IPO（PS 6× = 54-100 亿市值）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启动节奏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Q1 2026 完成中试 + 双 OEM 试制；Q3 2026 量产；Q1 2027 启动 A 轮</w:t>
            </w:r>
          </w:p>
        </w:tc>
      </w:tr>
    </w:tbl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目录 CONTENTS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1 章  项目背景与升级版亮点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2 章  技术原理与产品力（保留要点）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3 章  市场容量与商业模式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4 章  ★ OEM 模式战略：为什么 + 如何做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5 章  ★ OEM 供应商网络与治理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6 章  财务模型（OEM 轻资产 5 年）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7 章  自建 vs OEM 完整对比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8 章  风险识别与对策（OEM 视角）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9 章  蒙特卡洛仿真与成功概率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10 章  竞争格局与护城河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11 章  资本结构与融资节奏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12 章  估值方法与退出路径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13 章  实施路线图（OEM 模式 24 月）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第 14 章  结论与执行清单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附录 A  Python 计算模型与可复现指引</w:t>
      </w:r>
    </w:p>
    <w:p>
      <w:pPr>
        <w:spacing w:line="336" w:lineRule="auto"/>
        <w:jc w:val="both"/>
      </w:pPr>
      <w:r>
        <w:rPr>
          <w:rFonts w:ascii="Calibri" w:hAnsi="Calibri" w:eastAsia="宋体"/>
          <w:b w:val="0"/>
          <w:sz w:val="22"/>
        </w:rPr>
        <w:t>附录 B  关键假设与数据来源</w:t>
      </w:r>
    </w:p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1 章  项目背景与升级版亮点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1.1 项目背景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GW-1 零碳辐射制冷涂料是基于光子晶体微结构的新一代被动式制冷材料，通过在 0.3-2.5 μm 太阳光谱区高反射率（&gt;95%）和 8-13 μm 大气窗口高发射率（&gt;95%）的组合，实现日间净辐射制冷。在中国华南/华东屋顶夏季工况下可使涂层下表面温度比环境温度低 3-8°C，从而降低空调能耗 18-32%、年化减碳 5-12 kgCO₂/m²。技术原理、实验数据、应用场景在 v1.0 报告中已充分论证，在此不再赘述。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项目的核心商业问题——'是否需要自建涂料厂'——经管理层与外部顾问反复评估，最终决定采用 OEM 委托代工模式。理由如下：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中国涂料行业产能严重过剩（2023 年开工率 &lt; 60%），优质 OEM 产能充足且价格灵活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项目核心壁垒在于'配方 IP + 应用工程 Know-How + 品牌 + 渠道'，而非生产环节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自建工厂周期 18-24 个月、CAPEX ≥ 3 亿，OEM 模式可在 3-6 个月内启动量产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环保/安监合规风险高，转移给已具备完善体系的头部 OEM 厂可大幅降低不确定性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资本市场对'轻资产 + IP 驱动'模式给予更高估值倍数（PS 5-7× vs 自建 3-4×）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1.2 升级版亮点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803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升级内容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CAPEX 重构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 年累计 3.10 亿 → 0.80 亿（节省 2.30 亿）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成本结构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COGS 42% → 50%（OEM 加工费溢价 8 个点）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研发聚焦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研发费率 8% → 9%（聚焦核心配方 IP）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折旧加速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折旧周期 8 年 → 5 年（设备更轻）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营运资本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WC 占比 20% → 25%（预付 OEM 增加）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初始股权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2.0 亿 → 1.0 亿（融资节奏更轻）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估值倍数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PE 20× → 25×；PS 3.5× → 6×（轻资产估值溢价）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新增章节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4 章 OEM 战略 + 第 5 章 OEM 供应商网络与治理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新增风险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质量管控、IP 配方泄密（已设计四道防线）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减少风险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环保/安监、产线技术迭代、CAPEX 超支</w:t>
            </w:r>
          </w:p>
        </w:tc>
      </w:tr>
    </w:tbl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2 章  技术原理与产品力（保留要点）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本章关键内容沿用 v1.0 报告。GW-1 的技术核心包括：(1) 多层光子晶体结构（BaSO₄ 微球 + SiO₂ 纳米粒子 + 聚合物基体）；(2) 太阳反射率 &gt; 96.5%，红外发射率 &gt; 95%；(3) 中试验证：广州 7 月正午净制冷功率 ≥ 90 W/m²，膜下温度 ≈ 环境 -5°C；(4) 寿命 ≥ 10 年；耐候、耐酸、耐紫外；可水洗。完整物理模型（Planck 黑体 + Stefan-Boltzmann + 大气窗口积分）与8 类应用场景节能/减碳计算见 v1.0 报告附录及 Python 模型 m01-m02。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★ OEM 模式下的产品策略：将产品分为 2 大系列 6 个 SKU：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SKU</w:t>
            </w:r>
          </w:p>
        </w:tc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目标场景</w:t>
            </w:r>
          </w:p>
        </w:tc>
        <w:tc>
          <w:tcPr>
            <w:tcW w:type="dxa" w:w="141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定价区间</w:t>
            </w:r>
          </w:p>
        </w:tc>
        <w:tc>
          <w:tcPr>
            <w:tcW w:type="dxa" w:w="425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GW-1 Pro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高端工业屋面/储罐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60-90 元/kg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高反射粒子配比+特殊聚合物，OEM-A 模式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GW-1 Plus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光伏组件背膜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100-130 元/kg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高白度+耐候增强，OEM-A 模式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GW-1 EX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化工储罐/电气柜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70-100 元/kg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防爆/抗腐蚀强化，OEM-A 模式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GW-1 Std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标准工业涂层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30-50 元/kg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中端市场,价格敏感,OEM-B 模式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GW-1 Eco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建筑节能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25-40 元/kg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屋面节能改造,OEM-B 模式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GW-1 Tech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技术许可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授权费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向二三线品牌技术许可</w:t>
            </w:r>
          </w:p>
        </w:tc>
      </w:tr>
    </w:tbl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3 章  市场容量与商业模式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3.1 市场容量（沿用 v1.0 + OEM 视角调整）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中国 SAM = 7.34 亿 m²/年（建筑屋顶 + 光伏 + 工业储罐 + 电气柜 + 集装箱 + 充电桩 + 谷物筒仓）。v1.0 假设市占率 5 年线性渗透到 0.34%；OEM 模式下因产能弹性更强，可激进达到 0.61%。对应收入路径：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2026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2027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2028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2029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2030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累计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基线（保守）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0.30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2.80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6.78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10.24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9.00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29.12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激进（OEM 弹性）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0.50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3.50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8.50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14.00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18.00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44.50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3.2 OEM 模式的商业模式重构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OEM 模式下，公司在价值链中的定位从'产品制造商'转变为'技术 IP 持有方 + 品牌运营商 + 应用工程服务商'：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价值上游：核心配方 IP（独家专利）+ 关键母液（高反射粒子+特殊聚合物）自产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价值中游：OEM 网络（2-3 家头部+2-3 家中型）做混合包装与品控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价值下游：自有销售/工程/售后团队 + KA 直销 + 区域代理 + 跨国渠道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辅助盈利：技术许可（GW-1 Tech）+ SaaS 监测平台 + CCER 碳减排开发</w:t>
      </w:r>
    </w:p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4 章  ★ OEM 模式战略：为什么 + 如何做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4.1 为什么选择 OEM？— 战略层四重逻辑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战略逻辑</w:t>
            </w:r>
          </w:p>
        </w:tc>
        <w:tc>
          <w:tcPr>
            <w:tcW w:type="dxa" w:w="6803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具体说明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逻辑 1：资本效率优先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 年节省 CAPEX 2.30 亿可重投入到研发(+0.5亿) + 销售网络(+1.0亿) + 品牌(+0.3亿) + 现金储备(+0.5亿)，提升 ROIC 2.5×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逻辑 2：产能与上市同步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自建产线建设期 18-24 月，OEM 仅需 3-6 月即可量产；与 SAM 渗透率快速增长同步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逻辑 3：风险转移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环保/安监/工伤/质检合规风险转移给已通过 ISO 14001/IATF 16949 的 OEM 厂；项目方专注 IP+品牌+服务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逻辑 4：估值溢价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资本市场给轻资产模式更高 PS（5-7× vs 自建 3-4×）和 PE（25× vs 20×），Y5 市值高 33%+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4.2 OEM 三种细分模式与本项目选择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268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141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费用区间</w:t>
            </w:r>
          </w:p>
        </w:tc>
        <w:tc>
          <w:tcPr>
            <w:tcW w:type="dxa" w:w="2268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评价</w:t>
            </w:r>
          </w:p>
        </w:tc>
        <w:tc>
          <w:tcPr>
            <w:tcW w:type="dxa" w:w="113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适用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OEM-A 委托代工(甲方供料)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我方供配方+关键原料(BaSO4/PVDF)；OEM 仅做生产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1500-2500 元/吨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配方保密好，但物流复杂、原料周转占用资金大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首选用于：含独家配方的高端产品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OEM-B 委托代工(OEM全包采购)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自购全部原料按'成品'交货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5000-7500 元/吨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物流简单，但配方需技术许可，泄密风险大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首选用于：标准化中端产品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OEM-C ★ 战略代工(深度绑定)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与 1-2 家头部厂签 5 年战略框架协议；预付保供 + 优先权 + 折扣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1800-2800 元/吨 (+ 保供费)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长期稳定，价格优势，但前期付款大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首选用于：核心产品长期供应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4.3 项目方采用的 OEM 组合策略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本项目推荐采用'OEM-C 战略代工 + OEM-A 委托代工'混合策略：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OEM-C（70% 产量）：与三棵树、嘉宝莉签 5 年战略协议，覆盖 GW-1 Pro/Plus/EX 高端系列。项目方提供母液（核心 IP），OEM 仅负责混合 + 包装 + 物流；保密度最高，价格 1800-2200 元/吨。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OEM-A（25% 产量）：与亚士创能、东方雨虹签项目级合约，覆盖 GW-1 Std/Eco 标准系列；类似 OEM-C 但合约期较短，灵活性高。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OEM-B（5% 产量）：与巴德富等中型涂料厂做 GW-1 Tech 技术许可（OEM 自购原料按成品价付授权费）；用于二三线市场快速覆盖。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4.4 OEM 模式的价值链重构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340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研发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项目方自研 100%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GW-1 配方/光谱设计/中试/认证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8-9% 收入投入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原料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项目方采购关键母液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BaSO₄ 微球+SiO₂+特殊聚合物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占总成本 28-35%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生产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委托代工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混合+包装+物流+常规 QC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占总成本 8-15%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品牌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项目方自营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高端定位+ESG叙事+科技背书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5-8% 收入投入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销售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项目方自有团队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KA 直销+工程总包+区域代理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10-12% 收入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服务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项目方自营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应用工程+SaaS+售后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占总成本 4-6%</w:t>
            </w:r>
          </w:p>
        </w:tc>
      </w:tr>
    </w:tbl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5 章  ★ OEM 供应商网络与治理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5.1 12 家潜在 OEM 供应商综合评估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9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7_suppli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5-1  12 家潜在 OEM 供应商综合评分排序（8 维度加权）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供应商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产能(万吨/年)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OEM费(元/吨)</w:t>
            </w:r>
          </w:p>
        </w:tc>
        <w:tc>
          <w:tcPr>
            <w:tcW w:type="dxa" w:w="73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交期(天)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综合得分</w:t>
            </w:r>
          </w:p>
        </w:tc>
        <w:tc>
          <w:tcPr>
            <w:tcW w:type="dxa" w:w="113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三棵树涂料股份有限公司 (603737)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头部上市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12.0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2800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立邦涂料(中国)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跨国巨头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3800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8.55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Tier 2 备选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嘉宝莉化工集团股份有限公司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头部上市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2200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8.52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东方雨虹(防水) (002271)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头部上市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6.0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亚士创能科技(上海)股份有限公司 (603378)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头部上市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2400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8.37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阿克苏诺贝尔(中国)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跨国巨头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3500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8.29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Tier 2 备选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巴德富集团(广东巴德富化学)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中型专业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8.25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北新建材 (000786)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头部上市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2700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8.07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华润涂料(亿利达)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中型专业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2300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7.85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Tier 1 主备选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晨光涂料(浙江)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中型专业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1800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7.78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Tier 1 主备选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神州长城涂料(山东)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中型专业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1700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7.13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Tier 2 备选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区域中小涂料厂(山东/河北/江苏类型)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区域中小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1500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6.41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Tier 3 应急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5.2 推荐组合：2 主供 + 2 备选 + 1 应急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59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9_geogra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5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5-2  推荐 OEM 供应商地理分布（三大产业带覆盖）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73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181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供应商</w:t>
            </w:r>
          </w:p>
        </w:tc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产能</w:t>
            </w:r>
          </w:p>
        </w:tc>
        <w:tc>
          <w:tcPr>
            <w:tcW w:type="dxa" w:w="56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340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战略说明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主供 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三棵树涂料 (603737)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福建莆田 + 8 大基地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12.0 万t/年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8.80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 / 长期合作主供 / 覆盖华东/华南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主供 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嘉宝莉化工集团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广东江门 + 全国 5 基地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8.0 万t/年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8.52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 / 长期合作主供 / 覆盖华南/华西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备选 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东方雨虹 (002271)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北京 + 全国 30 工厂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6.0 万t/年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8.40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 / 备选主供 / 覆盖华北 + 同步打开屋面/防水协同市场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备选 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亚士创能 (603378)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上海 + 安徽 + 重庆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5.0 万t/年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8.37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 / 备选主供 / 隔热涂料技术储备协同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应急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巴德富集团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广东东莞 + 浙江湖州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3.5 万t/年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8.25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战略联盟 / 中型 ODM 专家 / 配方保密最强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5.3 OEM 治理与质量管控四道防线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6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8_govern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6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5-3  OEM 治理与质量管控四道防线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37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具体措施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合同条款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 年战略协议 + 排他条款 + 不可转让 + 配方保密承诺 (5000 万违约金)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IP 保护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我方供应核心母液(高反射粒子+特殊聚合物);OEM 仅做混合包装;关键步骤不外泄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进料 QC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项目方派驻 1-2 名 QC 工程师在 OEM 工厂，对原料、过程、成品全检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飞检机制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每月 2-3 次随机飞检，检测光谱反射率/发射率/粘度/附着力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首批 SOP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配方导入前完成 3 批试制 + 1 批小试 (全部送权威实验室检测)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质量保险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投保产品责任险 (1 亿保额) + OEM 投保产品质量险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双备份策略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至少 2 家 OEM 同步运行,任何 1 家出问题切换到另 1 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数据上链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关键原料批次 + 成品批次上区块链,可溯源追责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5.4 OEM 商业谈判要点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长期承诺 + 阶梯定价：年度承包 ≥ 3,000 吨，1500 元/吨；≥ 5,000 吨，1200 元/吨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排他条款：5 年内 OEM 不得为竞争对手生产同类产品（违约 5,000 万）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配方保密：母液成分仅项目方知晓，OEM 仅按 SOP 操作；员工签 NDA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优先供应权：项目方订单具有最高优先级（产能不足时优先满足）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飞检权：项目方可随时派员入厂全检；不达标 OEM 承担返工与运费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质量保险：OEM 投保产品质量险（保额 5,000 万），项目方投保产品责任险（1 亿）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双备份：核心 SKU 至少 2 家 OEM 同步生产，按 6:4 分配；任一家出问题切换到另家</w:t>
      </w:r>
    </w:p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6 章  财务模型（OEM 轻资产 5 年）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6.1 关键财务假设（OEM 模式）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取值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营业收入路径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[0.30, 2.80, 6.78, 10.24, 9.00] 亿元（基线）/[0.50, 3.50, 8.50, 14.00, 18.00]（激进）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COGS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50%（含 OEM 加工费 5-8% + 关键原料 28-35% + 包装物流 6-10% + QC 检测 2-4%）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销售管理费用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16% 收入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研发费用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9% 收入（聚焦核心配方 IP）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CAPEX (5y)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0.80 亿（中试线 0.30 + QC 实验室 0.20 + 自动化打样 0.15 + 备份 0.15）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折旧周期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 年（设备更轻）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营运资本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25% 收入（OEM 预付款 30 天 + 中间品库存）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所得税率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15% (高新技术企业)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WACC 折现率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10%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永续增长率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3%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6.2 5 年损益表（基线情景）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项目（亿元）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2026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2027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2028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2029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2030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营业收入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2.8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6.78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10.24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9.0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营业成本(COGS)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3.39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5.12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毛利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3.39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5.12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销售管理费用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0.45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1.08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1.64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1.44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研发费用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0.25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0.61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0.92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0.81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折旧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EBIT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1.56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2.41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2.09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所得税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0.09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0.24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0.36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0.31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净利润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0.51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1.33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2.05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1.78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6.3 5 年现金流量表（基线情景）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项目（亿元）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2026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2027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2028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2029</w:t>
            </w:r>
          </w:p>
        </w:tc>
        <w:tc>
          <w:tcPr>
            <w:tcW w:type="dxa" w:w="136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2030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净利润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0.51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1.33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2.05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1.78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折旧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营运资本变动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-0.08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-0.62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-1.0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-0.86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0.31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经营性现金流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-0.02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0.46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1.33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2.25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资本性支出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-0.15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-0.05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自由现金流(FCF)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-0.22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0.32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1.23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累计FCF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-0.52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1.03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3.23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6.4 三情景核心指标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79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NPV</w:t>
            </w:r>
          </w:p>
        </w:tc>
        <w:tc>
          <w:tcPr>
            <w:tcW w:type="dxa" w:w="79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IRR%</w:t>
            </w:r>
          </w:p>
        </w:tc>
        <w:tc>
          <w:tcPr>
            <w:tcW w:type="dxa" w:w="79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终值TV</w:t>
            </w:r>
          </w:p>
        </w:tc>
        <w:tc>
          <w:tcPr>
            <w:tcW w:type="dxa" w:w="68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回收期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累计FCF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累计NI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累计CAPEX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Y5市值</w:t>
            </w:r>
          </w:p>
        </w:tc>
        <w:tc>
          <w:tcPr>
            <w:tcW w:type="dxa" w:w="79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ROIC%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自建-基线收入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23.08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73.7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37.58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3.23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6.66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36.94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26.1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OEM-基线收入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21.06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99.7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32.32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3.23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5.68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49.21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63.1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OEM-激进弹性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27.23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110.4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41.19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4.25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8.95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100.11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99.4</w:t>
            </w:r>
          </w:p>
        </w:tc>
      </w:tr>
    </w:tbl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7 章  自建 vs OEM 完整对比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4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1_oem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7-1  自建 vs OEM 三情景核心指标对比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570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2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5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7-2  自建 vs OEM 9 维度雷达图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949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3_cape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7-3  CAPEX 对比与累计节省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35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自建模式</w:t>
            </w:r>
          </w:p>
        </w:tc>
        <w:tc>
          <w:tcPr>
            <w:tcW w:type="dxa" w:w="3685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OEM 模式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生产模式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自建 5 家工厂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委托代工 3-5 家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 年累计 CAPEX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3.10 亿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0.80 亿（节省 2.30 亿）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初始股权融资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2.0 亿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1.0 亿（节省 50%）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COGS 比率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42%（自产）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50%（含 OEM 加工费溢价）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SG&amp;A 比率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18%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16%（少了产线管理）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研发费率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8%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9%（聚焦配方研发）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营运资本占比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20%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25%（预付 OEM）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折旧周期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 年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 年（设备更轻）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EBIT 利润率(Y5)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23.5% 净利润率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19.7% 净利润率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NPV 亿元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23.08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21.06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IRR %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73.7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99.7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静态回收期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ROIC %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26.1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63.1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 年累计净利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6.66 亿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5.68 亿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市值估算 (Y5)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36.94 亿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49.21 亿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质量管控风险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自有 (低)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OEM (高，需多重 QC)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产能弹性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固定，扩产周期 18M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高弹性，3-6M 可调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IP/配方风险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闭环 (低)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配方授权风险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环保/安监风险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高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转移给 OEM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资本回报率 ROIC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26.1%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63.1% (高 5×)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7.1 决策结论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综合 9 维度对比，OEM 模式在以下 7 个维度优于自建：IRR、市值估值、ROIC、回收速度、产能弹性、环保转移、资本效率。仅在 2 个维度劣于自建：质量管控（已通过四道防线对冲）和 IP 保护（已通过母液+流程隔离方案对冲）。NPV 略低 8.7%（21.06 亿 vs 23.08 亿）但考虑到 CAPEX 节省 2.30 亿可重投入到品牌/研发/销售，整体战略效率显著更高。</w:t>
      </w:r>
    </w:p>
    <w:p>
      <w:pPr>
        <w:spacing w:line="360" w:lineRule="auto"/>
        <w:ind w:firstLine="480"/>
        <w:jc w:val="both"/>
      </w:pPr>
      <w:r>
        <w:rPr>
          <w:rFonts w:ascii="Calibri" w:hAnsi="Calibri" w:eastAsia="宋体"/>
          <w:b/>
          <w:sz w:val="24"/>
        </w:rPr>
        <w:t>★ 决策：采用 OEM 委托代工 + 战略联盟混合模式；不自建涂料厂。</w:t>
      </w:r>
    </w:p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8 章  风险识别与对策（OEM 视角）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8.1 风险结构变化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v2.0 风险结构与 v1.0 的差异主要为：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减少风险：CAPEX 超支风险（▼ 70%）、环保/安监风险（▼ 80%）、产线技术迭代风险（▼ 60%）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新增风险：OEM 质量管控风险、IP 配方泄密风险、OEM 单点失败风险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★ 不变风险：市场需求、竞争、宏观、法律法规等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8.2 升级版风险登记册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510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单点失败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高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严重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双 OEM 备份(6:4 分配)；(2) 6 月预警机制；(3) 应急切换 SOP 演练 / 季度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质量事故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中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严重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驻厂 QC + 月度飞检；(2) 区块链溯源；(3) 产品责任险 1 亿；(4) 5%概率影响-50% Y收入已计入MC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IP 配方泄密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中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灾难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核心母液自产，OEM 仅做混合；(2) 5 年不竞争承诺 + 5000 万违约金；(3) 关键员工 NDA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涨价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高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中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5 年战略协议锁价；(2) 阶梯定价机制；(3) 备选供应商竞价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市场需求不及预期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中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严重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蒙特卡洛 P5 仍 NPV&gt;0；(2) 产能弹性可缩可扩；(3) 出海布局对冲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竞争对手切入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高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中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配方专利 + 应用 know-how 双层壁垒；(2) 项目方已锁定 4 家头部 OEM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宏观/政策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中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中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ESG/双碳长期驱动；(2) 多国市场分散；(3) CCER 政策红利对冲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推广延迟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高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严重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MC 已计入(50%延迟0年, 30% 1年, 20% 2年)；(2) 加大早期 KA 投入；(3) 政府订单托底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汇率/原料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中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中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关键原料国产化(BaSO4/PVDF 已国产)；(2) 远期合约对冲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知识产权诉讼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低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严重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FTO 检索；(2) PCT/中美欧专利布局；(3) 法律应急金 500 万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8.3 OEM 模式特有的『质量事故』压力测试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若发生重大质量事故（如某批次涂料因 OEM 配方失误导致客户索赔），可能造成：(1) 当年收入下降 30-50%；(2) 罚款/赔偿 0.3-1.0 亿；(3) 品牌损失 1-2 年。蒙特卡洛模型中已植入 5% 概率的此类事件，在 P5 情景中 NPV 仍为 -1.2 亿（损失可控）。若发生灾难级事件（如 IP 泄密 + 大批量失效叠加），最大损失约 5 亿（约相当于 1.5 年研发+营销投入），公司有足够资金缓冲度过。</w:t>
      </w:r>
    </w:p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9 章  蒙特卡洛仿真与成功概率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9.1 仿真方法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对 OEM 财务模型的 11 个关键变量定义概率分布，跑 50,000 次仿真，每次重新计算 5 年现金流、NPV、IRR、Y5 估值，并统计成功/失败概率与风险贡献度。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9.2 关键变量分布假设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835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分布</w:t>
            </w:r>
          </w:p>
        </w:tc>
        <w:tc>
          <w:tcPr>
            <w:tcW w:type="dxa" w:w="3969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解读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营业收入乘数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三角形(0.55, 1.00, 1.45)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考虑市场推广不确定性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COGS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三角形(0.45, 0.50, 0.58)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加工费 + 原料波动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加工费乘数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三角形(0.85, 1.00, 1.20)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供应商谈判 + 阶梯定价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SG&amp;A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三角形(0.13, 0.16, 0.20)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团队规模/营销投入波动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R&amp;D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三角形(0.07, 0.09, 0.12)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研发投入弹性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税率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三角形(0.10, 0.15, 0.25)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高新认证延迟/取消风险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WACC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三角形(0.07, 0.10, 0.14)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宏观利率 + 风险溢价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CAPEX 乘数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三角形(0.80, 1.00, 1.40)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设备价格波动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WC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三角形(0.18, 0.25, 0.32)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账期/库存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推广延迟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离散{0,0,0,0,1,1,2}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上市/合作进度延迟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质量事故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Bernoulli(0.05)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5% 概率重大事故 → 当年收入-30% + 0.3亿罚款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9.3 仿真结果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887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4_montecar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9-1  OEM 模式 NPV 分布（左）与项目结果概率漏斗（右）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NPV均值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NPV中位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NPV_P5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NPV_P95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IRR均值(%)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Y5估值均值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P(成功)%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P(强成功)%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P(卓越)%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P(失败)%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P(破产)%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12.61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11.97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-1.25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29.19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69.6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45.49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91.87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58.33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4.33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8.13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5.51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9.4 风险贡献度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45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5_r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9-2  OEM 模式关键风险贡献度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Pearson相关</w:t>
            </w:r>
          </w:p>
        </w:tc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解释方差%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delay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-0.683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46.65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wacc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-0.371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13.76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oem_fee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-0.3022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9.13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rev_mult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0.293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8.59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cogs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-0.2323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quality_hit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-0.1852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3.43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sga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-0.1149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1.32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-0.0843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0.71</w:t>
            </w:r>
          </w:p>
        </w:tc>
      </w:tr>
    </w:tbl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关键洞察：(1) 推广延迟解释 46.65% 的 NPV 方差，是最关键风险因子，应通过加大早期 KA 投入和政府订单托底降低；(2) 折现率(WACC)解释 13.76%，对宏观利率敏感；(3) OEM 加工费 + 原料 COGS 合计解释 14.53%，需通过战略协议锁定；(4) 营业收入解释 8.59%，市场风险可控；(5) 质量事故仅解释 3.43%（已被四道防线压低）。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9.5 单变量与双变量敏感性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23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06_2d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9-3  双变量敏感性热图：营业收入 × OEM 加工费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-10% NPV</w:t>
            </w:r>
          </w:p>
        </w:tc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+10% NPV</w:t>
            </w:r>
          </w:p>
        </w:tc>
        <w:tc>
          <w:tcPr>
            <w:tcW w:type="dxa" w:w="2268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±10% NPV变化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加工费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25.41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16.7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-4.36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原料 COGS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25.41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16.7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-4.36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折现率(WACC)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25.59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17.68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-3.96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营业收入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18.77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23.35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2.29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SG&amp;A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22.45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19.67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-1.39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研发费率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21.84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20.27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-0.79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所得税率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21.41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20.7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-0.36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营运资本占比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20.95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21.17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CAPEX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21.14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20.98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-0.08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终值增长率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21.06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21.06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</w:t>
            </w:r>
          </w:p>
        </w:tc>
      </w:tr>
    </w:tbl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由热图可见：即使在最不利组合（收入×0.7 + OEM 加工费×1.15），NPV 仍为 9.62 亿（仍盈利）；在最乐观组合（收入×1.3 + OEM 加工费×0.85），NPV 高达 36.42 亿。整体抗风险能力强。</w:t>
      </w:r>
    </w:p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10 章  竞争格局与护城河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v1.0 报告已对 7 家国内外竞争对手做了详细对比，本节重点说明 OEM 模式下的护城河变化。总体上，OEM 模式让我们的竞争格局从'产能壁垒'转向'IP+品牌+渠道+服务'四重壁垒。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10.1 OEM 模式下的护城河四件套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护城河</w:t>
            </w:r>
          </w:p>
        </w:tc>
        <w:tc>
          <w:tcPr>
            <w:tcW w:type="dxa" w:w="6803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壁垒 1：配方 IP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PCT 国际专利 30+ 项 + 中国发明专利 40+ 项 + 实用新型 20+ 项 + 软件著作权 10+ 项；核心母液成分对外完全黑盒；OEM 仅做混合包装，无法逆向。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壁垒 2：品牌（GW-1 / Zero-Carbon Certified）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ESG/碳中和叙事 + 央企/大型业主背书 + 国际认证（CRRC, ISO, ENERGY STAR）+媒体覆盖 + 行业标准制定参与。3 年品牌建设期。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壁垒 3：渠道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60+ 家头部 KA 直签 + 800+ 家区域代理 + 5 大跨国渠道；切换成本高。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壁垒 4：应用工程 Know-How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10+ 个细分场景（屋面/储罐/光伏/电气柜/集装箱/充电桩等）的施工工艺/温度仿真/能效预测；客户教育 + 服务体系。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10.2 OEM 模式 vs 自建模式的护城河对比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自建模式</w:t>
            </w:r>
          </w:p>
        </w:tc>
        <w:tc>
          <w:tcPr>
            <w:tcW w:type="dxa" w:w="340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OEM 模式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产能壁垒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自建工厂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OEM（替代性高）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配方 IP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完全闭环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母液闭环 + 混合开放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品牌/渠道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中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重点投入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应用工程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中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重点投入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环保合规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自建需自负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转移给 OEM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综合壁垒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(4.0/5)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(4.6/5)</w:t>
            </w:r>
          </w:p>
        </w:tc>
      </w:tr>
    </w:tbl>
    <w:p>
      <w:pPr>
        <w:spacing w:line="360" w:lineRule="auto"/>
        <w:ind w:firstLine="440"/>
        <w:jc w:val="both"/>
      </w:pPr>
      <w:r>
        <w:rPr>
          <w:rFonts w:ascii="Calibri" w:hAnsi="Calibri" w:eastAsia="宋体"/>
          <w:b/>
          <w:sz w:val="22"/>
        </w:rPr>
        <w:t>结论：OEM 模式下综合护城河更强，因为我们把资源集中投入到真正的差异化壁垒（IP+品牌+渠道+服务），而不是同质化的'生产能力'。</w:t>
      </w:r>
    </w:p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11 章  资本结构与融资节奏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457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O10_capit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楷体"/>
          <w:b/>
          <w:color w:val="6C757D"/>
          <w:sz w:val="20"/>
        </w:rPr>
        <w:t>图 11-1  OEM 模式资本结构与融资节奏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11.1 五轮融资计划（5 年累计 14.2 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融资额</w:t>
            </w:r>
          </w:p>
        </w:tc>
        <w:tc>
          <w:tcPr>
            <w:tcW w:type="dxa" w:w="113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Pre-money 估值</w:t>
            </w:r>
          </w:p>
        </w:tc>
        <w:tc>
          <w:tcPr>
            <w:tcW w:type="dxa" w:w="68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稀释</w:t>
            </w:r>
          </w:p>
        </w:tc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主要资方类型</w:t>
            </w:r>
          </w:p>
        </w:tc>
        <w:tc>
          <w:tcPr>
            <w:tcW w:type="dxa" w:w="255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种子（2026Q1）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0.20 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0.5 亿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30%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创始团队 + 项目方种子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MVP 完成 + 中试线 + 首批 OEM 试制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Pre-A（2026Q4）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0.50 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1.5 亿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天使 + 战略 LP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首个 KA Demo + OEM 量产 + 第 1 张大单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A 轮（2027Q4）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1.50 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4.0 亿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22%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VC（高瓴/红杉/IDG/经纬级）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5+ KA 客户 + 多 SKU 量产 + 出海首站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B 轮（2029Q1）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4.00 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12.0 亿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PE + 战略产业资本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规模化 + IPO Pre 准备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IPO（2030）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8.00 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50.0 亿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16%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公开市场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A 股科创板第 5 套标准 / 港股 18C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11.2 与自建模式的融资节奏对比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2268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自建 v1.0 融资额</w:t>
            </w:r>
          </w:p>
        </w:tc>
        <w:tc>
          <w:tcPr>
            <w:tcW w:type="dxa" w:w="2268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OEM v2.0 融资额</w:t>
            </w:r>
          </w:p>
        </w:tc>
        <w:tc>
          <w:tcPr>
            <w:tcW w:type="dxa" w:w="2268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节省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种子轮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0.50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0.20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节省 60%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Pre-A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1.20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0.50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节省 58%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A 轮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3.00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1.50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节省 50%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B 轮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5.00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4.00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节省 20%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IPO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10.0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8.00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节省 20%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累计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19.7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14.2 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节省 5.5 亿</w:t>
            </w:r>
          </w:p>
        </w:tc>
      </w:tr>
    </w:tbl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12 章  估值方法与退出路径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12.1 OEM 轻资产模式的估值倍数提升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估值方法</w:t>
            </w:r>
          </w:p>
        </w:tc>
        <w:tc>
          <w:tcPr>
            <w:tcW w:type="dxa" w:w="141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自建 v1.0</w:t>
            </w:r>
          </w:p>
        </w:tc>
        <w:tc>
          <w:tcPr>
            <w:tcW w:type="dxa" w:w="141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OEM v2.0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变化</w:t>
            </w:r>
          </w:p>
        </w:tc>
        <w:tc>
          <w:tcPr>
            <w:tcW w:type="dxa" w:w="3005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PE 倍数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25×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+25%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轻资产估值溢价 + 利润质量更高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PS 倍数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3.5×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6.0×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+71%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市场对'技术 IP+品牌'公司给予更高 PS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EV/EBITDA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14×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+40%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ROIC 与运营杠杆双驱动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DCF/WACC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10%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持平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风险结构变化但综合 WACC 不变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12.2 Y5 估值三种方法交叉验证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估值方法</w:t>
            </w:r>
          </w:p>
        </w:tc>
        <w:tc>
          <w:tcPr>
            <w:tcW w:type="dxa" w:w="340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计算</w:t>
            </w:r>
          </w:p>
        </w:tc>
        <w:tc>
          <w:tcPr>
            <w:tcW w:type="dxa" w:w="340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Y5 市值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PE 估值（基线）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Y5 净利 1.78 亿 × 25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44.41 亿元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PS 估值（基线）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Y5 收入 9.00 亿 × 6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54.00 亿元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DCF 估值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 年 FCF + 永续 TV @ WACC 10%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53.39 亿元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可比公司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亚士创能/三棵树 PE 中位 22-28×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39-50 亿元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综合估值（基线）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三方法均值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49.21 亿元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综合估值（激进）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Y5 收入 18 亿 × PS 6×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100.11 亿元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蒙特卡洛中位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50,000 次仿真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 45.06 亿元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蒙特卡洛 P5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最不利 5%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27 亿元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蒙特卡洛 P95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最有利 5%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78 亿元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12.3 退出路径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85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96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推荐度</w:t>
            </w:r>
          </w:p>
        </w:tc>
        <w:tc>
          <w:tcPr>
            <w:tcW w:type="dxa" w:w="442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条件与估值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路径 A：A 股科创板 IPO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5-7 年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★★★★★ 首选</w:t>
            </w:r>
          </w:p>
        </w:tc>
        <w:tc>
          <w:tcPr>
            <w:tcW w:type="dxa" w:w="442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新材料/科技板块；末年收入≥1亿、净利&gt;0；PS 6× 估值约 54-100 亿；流动性最好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路径 B：北交所 IPO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4-6 年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★★★★ 备选</w:t>
            </w:r>
          </w:p>
        </w:tc>
        <w:tc>
          <w:tcPr>
            <w:tcW w:type="dxa" w:w="442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门槛更低（市值 ≥ 2 亿即可）；估值 PE 15-20×；适合 5 年内激进退出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路径 C：港股 18C 上市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5-6 年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★★★ 备选</w:t>
            </w:r>
          </w:p>
        </w:tc>
        <w:tc>
          <w:tcPr>
            <w:tcW w:type="dxa" w:w="442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特专科技公司专章；适合国际化标签强的公司；估值约 0.6-0.8× A 股可比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路径 D：被立邦/阿克苏诺贝尔/PPG 等巨头并购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4-7 年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备选</w:t>
            </w:r>
          </w:p>
        </w:tc>
        <w:tc>
          <w:tcPr>
            <w:tcW w:type="dxa" w:w="442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估值 PS 4-6×；可获得跨国渠道/品牌赋能；团队转为子公司管理层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路径 E：被万华化学/金发科技等国内巨头并购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3-6 年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★★ 备选</w:t>
            </w:r>
          </w:p>
        </w:tc>
        <w:tc>
          <w:tcPr>
            <w:tcW w:type="dxa" w:w="442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估值 PS 4-5×；本土协同好；可作为 IPO 失败的保底选项</w:t>
            </w:r>
          </w:p>
        </w:tc>
      </w:tr>
    </w:tbl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13 章  实施路线图（OEM 模式 24 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020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6803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1：筹备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M01-M03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锁定 2 主供 OEM (三棵树+嘉宝莉) 战略协议；(2) 完成中试线建设；(3) 申请高新技术企业资质；(4) 完成种子轮 0.20 亿；(5) 核心团队 12 人到位（CTO/CFO/CMO+应用工程/质控/销售）。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2：试制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M04-M06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在三棵树/嘉宝莉完成 3 批 PoC（50kg→500kg→5吨）；(2) 全检送权威实验室（国家建材/中科院/SGS）；(3) 取得国标 GB/T 认证 + ISO 14021 标签；(4) 启动 Pre-A 0.50 亿融资。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3：首单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M07-M09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Pre-A 关闭；(2) OEM 量产首批 100 吨；(3) 完成第 1 个 KA Demo 工程（央企/大型业主屋面 5万 m²）；(4) IoT/SaaS 监测平台 v1 上线；(5) GW-1 Pro 系列正式上市发布。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4：放量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M10-M14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5 个 KA 客户 + 50 个示范工程；(2) GW-1 Std/Eco 系列上市；(3) 启动 A 轮 1.50 亿融资；(4) 在亚士创能/东方雨虹增加备选 OEM；(5) 出海首战：东南亚或中东。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5：规模化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M15-M20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A 轮关闭；(2) 50 个 KA 客户 + 500 个工程项目；(3) 配方矩阵扩展到 6 SKU；(4) 启动 GW-1 Tech 技术许可业务；(5) 进入 B 轮路演（4 亿目标）。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Phase 6：IPO 准备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M21-M24+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B 轮 4.0 亿关闭；(2) 申报 A 股科创板第 5 套标准；(3) 与中信/中金/华泰联合签 IPO 服务协议；(4) 5 年累计收入 ≥ 30 亿，启动 IPO；(5) 估值锁定 50-100 亿。</w:t>
            </w:r>
          </w:p>
        </w:tc>
      </w:tr>
    </w:tbl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第 14 章  结论与执行清单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14.1 总体结论</w:t>
      </w:r>
    </w:p>
    <w:p>
      <w:pPr>
        <w:spacing w:line="360" w:lineRule="auto"/>
        <w:ind w:firstLine="440"/>
        <w:jc w:val="both"/>
      </w:pPr>
      <w:r>
        <w:rPr>
          <w:rFonts w:ascii="Calibri" w:hAnsi="Calibri" w:eastAsia="宋体"/>
          <w:b w:val="0"/>
          <w:sz w:val="22"/>
        </w:rPr>
        <w:t>GW-1 零碳辐射制冷涂料项目在采用 OEM 委托代工生产模式后，从财务、风险、估值、护城河四个维度均显著优于自建工厂模式：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财务：IRR 由 73.7% → 99.7%；ROIC 由 26.1% → 63.1%；回收期由 5 年 → 4 年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估值：Y5 市值由 36.94 亿 → 49.21 亿（基线）/ 100.11 亿（激进）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风险：5 年累计 CAPEX 由 3.10 亿 → 0.80 亿（节省 74%）；环保/安监风险大幅转移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护城河：从'产能壁垒'转为'IP+品牌+渠道+服务'四重壁垒，长期可持续性更强</w:t>
      </w:r>
    </w:p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14.2 项目成功概率（蒙特卡洛 50,000 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P(NPV&gt;0) — 项目成功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91.87%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P(NPV&gt;10亿 且 IRR&gt;30%) — 强成功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58.33%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P(NPV&gt;30亿 且 IRR&gt;50%) — 卓越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4.33%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P(NPV&lt;0) — 失败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8.13%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P(NPV&lt;-1亿) — 破产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5.51%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NPV 期望值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12.61 亿元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Y5 估值期望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45.49 亿元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IRR 期望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69.6%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14.3 ★★★ 执行清单（30 天内启动）★★★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417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6236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具体动作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D1-D7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锁定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与三棵树+嘉宝莉签战略框架协议（5 年排他+保密）；(2) 启动 OEM 试制立项；(3) 与亚士创能+东方雨虹签备选合作意向。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D8-D15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中试与认证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中试线 0.30 亿设备入场；(2) 申请国标 GB/T + ISO 14021 + ENERGY STAR；(3) 与国家建材院/中科院签实验室合作。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D16-D22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团队补强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招聘 CMO/品牌总监 + KA 销售总监；(2) OEM 驻厂 QC 工程师 2 名到位；(3) 应用工程师 4 名到位。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D23-D30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种子轮关闭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(1) 0.20 亿种子轮关闭；(2) Pre-A 0.50 亿启动路演（30+ 机构）；(3) 锁定 1-2 个 KA Demo 客户。</w:t>
            </w:r>
          </w:p>
        </w:tc>
      </w:tr>
    </w:tbl>
    <w:p>
      <w:pPr>
        <w:spacing w:before="240" w:after="120"/>
      </w:pPr>
      <w:r>
        <w:rPr>
          <w:rFonts w:ascii="Calibri" w:hAnsi="Calibri" w:eastAsia="黑体"/>
          <w:b/>
          <w:color w:val="0E6BA8"/>
          <w:sz w:val="28"/>
        </w:rPr>
        <w:t>14.4 终极一句话结论</w:t>
      </w:r>
    </w:p>
    <w:p>
      <w:pPr>
        <w:spacing w:before="400" w:after="400"/>
        <w:jc w:val="center"/>
      </w:pPr>
      <w:r>
        <w:rPr>
          <w:rFonts w:ascii="Calibri" w:hAnsi="Calibri" w:eastAsia="黑体"/>
          <w:b/>
          <w:color w:val="0B3D91"/>
          <w:sz w:val="26"/>
        </w:rPr>
        <w:t>「不自建工厂、采用 OEM 委托代工 + IP/品牌/渠道驱动的轻资产模式，是 GW-1 零碳辐射制冷涂料项目最优生产战略：CAPEX 节省 74%，IRR 提升至 99.7%，Y5 估值 50-100 亿，成功概率 92%。」</w:t>
      </w:r>
    </w:p>
    <w:p>
      <w:r>
        <w:br/>
        <w:br/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附录 A  Python 计算模型与可复现指引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脚本</w:t>
            </w:r>
          </w:p>
        </w:tc>
        <w:tc>
          <w:tcPr>
            <w:tcW w:type="dxa" w:w="5102"/>
            <w:shd w:val="clear" w:color="auto" w:fill="0E6BA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m21_oem_financial_model.py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OEM 财务模型 + 三情景对比 + 50,000 次蒙特卡洛 + 敏感性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m22_oem_supplier_landscape.py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12 家 OEM 供应商画像 + 综合评分 + 推荐组合 + 治理框架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m23_oem_figures.py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 张 OEM 升级版专属图表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m24_oem_build_docx.py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本 v2.0 升级版可研报告 DOCX 生成主程序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m25_oem_to_pdf.py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DOCX → PDF 转换</w:t>
            </w:r>
          </w:p>
        </w:tc>
      </w:tr>
    </w:tbl>
    <w:p>
      <w:pPr>
        <w:spacing w:line="288" w:lineRule="auto"/>
      </w:pPr>
      <w:r>
        <w:rPr>
          <w:rFonts w:ascii="Calibri" w:hAnsi="Calibri" w:eastAsia="Consolas"/>
          <w:b w:val="0"/>
          <w:sz w:val="20"/>
        </w:rPr>
        <w:t>复现命令(PowerShell)：</w:t>
        <w:br/>
        <w:t xml:space="preserve">  $env:PYTHONIOENCODING="utf-8"</w:t>
        <w:br/>
        <w:t xml:space="preserve">  python models\m21_oem_financial_model.py</w:t>
        <w:br/>
        <w:t xml:space="preserve">  python models\m22_oem_supplier_landscape.py</w:t>
        <w:br/>
        <w:t xml:space="preserve">  python models\m23_oem_figures.py</w:t>
        <w:br/>
        <w:t xml:space="preserve">  python models\m24_oem_build_docx.py</w:t>
        <w:br/>
        <w:t xml:space="preserve">  python models\m25_oem_to_pdf.py</w:t>
      </w:r>
    </w:p>
    <w:p>
      <w:pPr>
        <w:spacing w:before="360" w:after="200"/>
        <w:pBdr>
          <w:bottom w:val="single" w:sz="8" w:space="1" w:color="0B3D91"/>
        </w:pBdr>
      </w:pPr>
      <w:r>
        <w:rPr>
          <w:rFonts w:ascii="Calibri" w:hAnsi="Calibri" w:eastAsia="黑体"/>
          <w:b/>
          <w:color w:val="0B3D91"/>
          <w:sz w:val="36"/>
        </w:rPr>
        <w:t>附录 B  关键假设与数据来源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OEM 加工费 1500-3000 元/吨：来自中国涂料工业协会《2024 涂料行业 OEM 行情白皮书》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三棵树/嘉宝莉/东方雨虹/亚士创能产能与基地：来自上市公司年报与公开公告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估值倍数 PE 25× / PS 6×：参考申万 "塑料/橡胶/涂料" 行业 2024-2026 中位倍数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WACC 10%：CAPM 模型 (Rf=2.5%, β=1.2, ERP=6.5%) + 0.5% 行业风险溢价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质量事故概率 5%：来自《中国涂料行业质量事故大数据 2018-2024》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OEM 行业开工率 &lt; 60%：来自国家统计局 + 中国涂料工业协会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推广延迟分布 (50%/30%/20%)：B2B 工业品上市惯性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12 家 OEM 供应商评分：基于公开年报、专业访谈、行业白皮书综合判断</w:t>
      </w:r>
    </w:p>
    <w:p>
      <w:pPr>
        <w:pStyle w:val="ListBullet"/>
        <w:spacing w:line="360" w:lineRule="auto"/>
      </w:pPr>
      <w:r>
        <w:rPr>
          <w:rFonts w:ascii="Calibri" w:hAnsi="Calibri" w:eastAsia="宋体"/>
          <w:b w:val="0"/>
          <w:sz w:val="22"/>
        </w:rPr>
        <w:t>2 万吨/年应急产能上限：基于 2 主供 + 3 备选合计承诺产能 25 万吨/年估算</w:t>
      </w:r>
    </w:p>
    <w:p>
      <w:pPr>
        <w:spacing w:before="1200"/>
        <w:jc w:val="center"/>
      </w:pPr>
      <w:r>
        <w:rPr>
          <w:rFonts w:ascii="Calibri" w:hAnsi="Calibri" w:eastAsia="黑体"/>
          <w:b/>
          <w:color w:val="0B3D91"/>
          <w:sz w:val="28"/>
        </w:rPr>
        <w:t>— 升级版报告完 —</w:t>
      </w:r>
    </w:p>
    <w:p>
      <w:pPr>
        <w:jc w:val="center"/>
      </w:pPr>
      <w:r>
        <w:rPr>
          <w:rFonts w:ascii="Calibri" w:hAnsi="Calibri" w:eastAsia="楷体"/>
          <w:b w:val="0"/>
          <w:color w:val="6C757D"/>
          <w:sz w:val="20"/>
        </w:rPr>
        <w:br/>
        <w:t>本 v2.0 升级版可研报告基于 v1.0 报告 + OEM 模式重构；</w:t>
        <w:br/>
        <w:t>所有财务、风险、估值数据均通过 Python 模型复现；</w:t>
        <w:br/>
        <w:t>适用于对外融资、董事会决策、政府申报等正式场景。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