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 w:cs="Microsoft YaHei"/>
          <w:b/>
          <w:color w:val="1F6FFF"/>
          <w:sz w:val="72"/>
        </w:rPr>
        <w:br/>
        <w:br/>
        <w:br/>
        <w:br/>
        <w:t>守播 LiveGuard AI</w:t>
      </w:r>
      <w:r>
        <w:br/>
      </w:r>
      <w:r>
        <w:rPr>
          <w:rFonts w:ascii="Microsoft YaHei" w:hAnsi="Microsoft YaHei" w:eastAsia="Microsoft YaHei" w:cs="Microsoft YaHei"/>
          <w:b w:val="0"/>
          <w:color w:val="0B0F1A"/>
          <w:sz w:val="36"/>
        </w:rPr>
        <w:t>直播间 AI 实时合规监控 SaaS</w:t>
        <w:br/>
        <w:t>商业计划书 v5.0 · 机构标准版</w:t>
      </w:r>
      <w:r>
        <w:br/>
      </w:r>
      <w:r>
        <w:rPr>
          <w:rFonts w:ascii="Microsoft YaHei" w:hAnsi="Microsoft YaHei" w:eastAsia="Microsoft YaHei" w:cs="Microsoft YaHei"/>
          <w:b w:val="0"/>
          <w:color w:val="8A93A6"/>
          <w:sz w:val="24"/>
        </w:rPr>
        <w:br/>
        <w:t>2026 年 06 月 01 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361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 w:cs="Microsoft YaHei"/>
        <w:b w:val="0"/>
        <w:color w:val="8A93A6"/>
        <w:sz w:val="17"/>
      </w:rPr>
      <w:t>CONFIDENTIAL · 仅授权对象阅读 · © 2026 守播 LiveGuard AI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b w:val="0"/>
        <w:color w:val="8A93A6"/>
        <w:sz w:val="18"/>
      </w:rPr>
      <w:t>守播 LiveGuard AI · 商业计划书 v5.0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1F6FF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B0F1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B0F1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0B0F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