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jc w:val="center"/>
      </w:pPr>
      <w:r>
        <w:rPr>
          <w:rFonts w:ascii="Segoe UI" w:hAnsi="Segoe UI" w:eastAsia="微软雅黑"/>
          <w:b/>
          <w:color w:val="1F3B63"/>
          <w:sz w:val="40"/>
        </w:rPr>
        <w:t>信源档案</w:t>
      </w:r>
    </w:p>
    <w:p>
      <w:pPr>
        <w:spacing w:after="120" w:line="324" w:lineRule="auto"/>
      </w:pPr>
      <w:r>
        <w:rPr>
          <w:rFonts w:ascii="Times New Roman" w:hAnsi="Times New Roman" w:eastAsia="宋体"/>
          <w:sz w:val="21"/>
        </w:rPr>
        <w:t xml:space="preserve">本报告的每一个外部事实都登记在此，含原文摘录、链接与访问日期。模型 </w:t>
      </w:r>
      <w:r>
        <w:rPr>
          <w:rFonts w:ascii="Consolas" w:hAnsi="Consolas" w:eastAsia="Consolas"/>
          <w:sz w:val="20"/>
        </w:rPr>
        <w:t>model.py</w:t>
      </w:r>
      <w:r>
        <w:rPr>
          <w:rFonts w:ascii="Times New Roman" w:hAnsi="Times New Roman" w:eastAsia="宋体"/>
          <w:sz w:val="21"/>
        </w:rPr>
        <w:t xml:space="preserve"> 中的每个外生参数都在下表有对应编号，报告正文引用时标注 </w:t>
      </w:r>
      <w:r>
        <w:rPr>
          <w:rFonts w:ascii="Consolas" w:hAnsi="Consolas" w:eastAsia="Consolas"/>
          <w:sz w:val="20"/>
        </w:rPr>
        <w:t>[S-xx]</w:t>
      </w:r>
      <w:r>
        <w:rPr>
          <w:rFonts w:ascii="Times New Roman" w:hAnsi="Times New Roman" w:eastAsia="宋体"/>
          <w:sz w:val="21"/>
        </w:rPr>
        <w:t>。</w:t>
      </w:r>
    </w:p>
    <w:p>
      <w:pPr>
        <w:spacing w:after="120" w:line="324" w:lineRule="auto"/>
      </w:pPr>
      <w:r>
        <w:rPr>
          <w:rFonts w:ascii="Times New Roman" w:hAnsi="Times New Roman" w:eastAsia="宋体"/>
          <w:b/>
          <w:sz w:val="21"/>
        </w:rPr>
        <w:t>统一访问日期：2026-08-05（UTC+8）</w:t>
      </w:r>
      <w:r>
        <w:rPr>
          <w:rFonts w:ascii="Times New Roman" w:hAnsi="Times New Roman" w:eastAsia="宋体"/>
          <w:sz w:val="21"/>
        </w:rPr>
        <w:t>，个别条目另注。</w:t>
      </w:r>
    </w:p>
    <w:p>
      <w:pPr>
        <w:spacing w:after="120" w:line="324" w:lineRule="auto"/>
      </w:pPr>
      <w:r>
        <w:rPr>
          <w:rFonts w:ascii="Times New Roman" w:hAnsi="Times New Roman" w:eastAsia="宋体"/>
          <w:sz w:val="21"/>
        </w:rPr>
        <w:t>凡本档案未登记的数字，一律不得作为报告结论的依据。若某条事实存在互相矛盾的来源，一并记录矛盾并说明取舍理由（见文末「矛盾与取舍」）。</w:t>
      </w: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S-01 Kimi K3 模型规格</w:t>
      </w:r>
    </w:p>
    <w:p>
      <w:pPr>
        <w:spacing w:after="120" w:line="324" w:lineRule="auto"/>
      </w:pPr>
      <w:r>
        <w:rPr>
          <w:rFonts w:ascii="Times New Roman" w:hAnsi="Times New Roman" w:eastAsia="宋体"/>
          <w:sz w:val="21"/>
        </w:rPr>
        <w:t>来源：MoonshotAI 官方仓库 &lt;https://github.com/MoonshotAI/Kimi-K3&gt;（仓库创建于 2026-07-27T08:01:37Z）</w:t>
      </w:r>
    </w:p>
    <w:p>
      <w:pPr>
        <w:spacing w:after="120" w:line="324" w:lineRule="auto"/>
      </w:pPr>
      <w:r>
        <w:rPr>
          <w:rFonts w:ascii="Times New Roman" w:hAnsi="Times New Roman" w:eastAsia="宋体"/>
          <w:sz w:val="21"/>
        </w:rPr>
        <w:t>官方模型卡原文（Model Summary 表）：</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color="auto" w:fill="1F3B63"/>
          </w:tcPr>
          <w:p>
            <w:pPr>
              <w:spacing w:after="40" w:before="40"/>
              <w:jc w:val="center"/>
            </w:pPr>
            <w:r>
              <w:rPr>
                <w:rFonts w:ascii="Segoe UI" w:hAnsi="Segoe UI" w:eastAsia="微软雅黑"/>
                <w:b/>
                <w:color w:val="FFFFFF"/>
                <w:sz w:val="18"/>
              </w:rPr>
              <w:t>项</w:t>
            </w:r>
          </w:p>
        </w:tc>
        <w:tc>
          <w:tcPr>
            <w:tcW w:type="dxa" w:w="4592"/>
            <w:shd w:val="clear" w:color="auto" w:fill="1F3B63"/>
          </w:tcPr>
          <w:p>
            <w:pPr>
              <w:spacing w:after="40" w:before="40"/>
              <w:jc w:val="center"/>
            </w:pPr>
            <w:r>
              <w:rPr>
                <w:rFonts w:ascii="Segoe UI" w:hAnsi="Segoe UI" w:eastAsia="微软雅黑"/>
                <w:b/>
                <w:color w:val="FFFFFF"/>
                <w:sz w:val="18"/>
              </w:rPr>
              <w:t>值</w:t>
            </w:r>
          </w:p>
        </w:tc>
      </w:tr>
      <w:tr>
        <w:tc>
          <w:tcPr>
            <w:tcW w:type="dxa" w:w="4592"/>
          </w:tcPr>
          <w:p>
            <w:pPr>
              <w:spacing w:after="40" w:before="40"/>
              <w:jc w:val="left"/>
            </w:pPr>
            <w:r>
              <w:rPr>
                <w:rFonts w:ascii="Times New Roman" w:hAnsi="Times New Roman" w:eastAsia="宋体"/>
                <w:sz w:val="18"/>
              </w:rPr>
              <w:t>Architecture</w:t>
            </w:r>
          </w:p>
        </w:tc>
        <w:tc>
          <w:tcPr>
            <w:tcW w:type="dxa" w:w="4592"/>
          </w:tcPr>
          <w:p>
            <w:pPr>
              <w:spacing w:after="40" w:before="40"/>
              <w:jc w:val="left"/>
            </w:pPr>
            <w:r>
              <w:rPr>
                <w:rFonts w:ascii="Times New Roman" w:hAnsi="Times New Roman" w:eastAsia="宋体"/>
                <w:sz w:val="18"/>
              </w:rPr>
              <w:t>Mixture-of-Experts (MoE)</w:t>
            </w:r>
          </w:p>
        </w:tc>
      </w:tr>
      <w:tr>
        <w:tc>
          <w:tcPr>
            <w:tcW w:type="dxa" w:w="4592"/>
            <w:shd w:val="clear" w:color="auto" w:fill="F7F8FA"/>
          </w:tcPr>
          <w:p>
            <w:pPr>
              <w:spacing w:after="40" w:before="40"/>
              <w:jc w:val="left"/>
            </w:pPr>
            <w:r>
              <w:rPr>
                <w:rFonts w:ascii="Times New Roman" w:hAnsi="Times New Roman" w:eastAsia="宋体"/>
                <w:sz w:val="18"/>
              </w:rPr>
              <w:t>Total Parameters</w:t>
            </w:r>
          </w:p>
        </w:tc>
        <w:tc>
          <w:tcPr>
            <w:tcW w:type="dxa" w:w="4592"/>
            <w:shd w:val="clear" w:color="auto" w:fill="F7F8FA"/>
          </w:tcPr>
          <w:p>
            <w:pPr>
              <w:spacing w:after="40" w:before="40"/>
              <w:jc w:val="left"/>
            </w:pPr>
            <w:r>
              <w:rPr>
                <w:rFonts w:ascii="Times New Roman" w:hAnsi="Times New Roman" w:eastAsia="宋体"/>
                <w:sz w:val="18"/>
              </w:rPr>
              <w:t>2.8T</w:t>
            </w:r>
          </w:p>
        </w:tc>
      </w:tr>
      <w:tr>
        <w:tc>
          <w:tcPr>
            <w:tcW w:type="dxa" w:w="4592"/>
          </w:tcPr>
          <w:p>
            <w:pPr>
              <w:spacing w:after="40" w:before="40"/>
              <w:jc w:val="left"/>
            </w:pPr>
            <w:r>
              <w:rPr>
                <w:rFonts w:ascii="Times New Roman" w:hAnsi="Times New Roman" w:eastAsia="宋体"/>
                <w:sz w:val="18"/>
              </w:rPr>
              <w:t>Activated Parameters</w:t>
            </w:r>
          </w:p>
        </w:tc>
        <w:tc>
          <w:tcPr>
            <w:tcW w:type="dxa" w:w="4592"/>
          </w:tcPr>
          <w:p>
            <w:pPr>
              <w:spacing w:after="40" w:before="40"/>
              <w:jc w:val="left"/>
            </w:pPr>
            <w:r>
              <w:rPr>
                <w:rFonts w:ascii="Times New Roman" w:hAnsi="Times New Roman" w:eastAsia="宋体"/>
                <w:sz w:val="18"/>
              </w:rPr>
              <w:t>104B</w:t>
            </w:r>
          </w:p>
        </w:tc>
      </w:tr>
      <w:tr>
        <w:tc>
          <w:tcPr>
            <w:tcW w:type="dxa" w:w="4592"/>
            <w:shd w:val="clear" w:color="auto" w:fill="F7F8FA"/>
          </w:tcPr>
          <w:p>
            <w:pPr>
              <w:spacing w:after="40" w:before="40"/>
              <w:jc w:val="left"/>
            </w:pPr>
            <w:r>
              <w:rPr>
                <w:rFonts w:ascii="Times New Roman" w:hAnsi="Times New Roman" w:eastAsia="宋体"/>
                <w:sz w:val="18"/>
              </w:rPr>
              <w:t>Number of Layers</w:t>
            </w:r>
          </w:p>
        </w:tc>
        <w:tc>
          <w:tcPr>
            <w:tcW w:type="dxa" w:w="4592"/>
            <w:shd w:val="clear" w:color="auto" w:fill="F7F8FA"/>
          </w:tcPr>
          <w:p>
            <w:pPr>
              <w:spacing w:after="40" w:before="40"/>
              <w:jc w:val="left"/>
            </w:pPr>
            <w:r>
              <w:rPr>
                <w:rFonts w:ascii="Times New Roman" w:hAnsi="Times New Roman" w:eastAsia="宋体"/>
                <w:sz w:val="18"/>
              </w:rPr>
              <w:t>93</w:t>
            </w:r>
          </w:p>
        </w:tc>
      </w:tr>
      <w:tr>
        <w:tc>
          <w:tcPr>
            <w:tcW w:type="dxa" w:w="4592"/>
          </w:tcPr>
          <w:p>
            <w:pPr>
              <w:spacing w:after="40" w:before="40"/>
              <w:jc w:val="left"/>
            </w:pPr>
            <w:r>
              <w:rPr>
                <w:rFonts w:ascii="Times New Roman" w:hAnsi="Times New Roman" w:eastAsia="宋体"/>
                <w:sz w:val="18"/>
              </w:rPr>
              <w:t>Number of Dense Layers</w:t>
            </w:r>
          </w:p>
        </w:tc>
        <w:tc>
          <w:tcPr>
            <w:tcW w:type="dxa" w:w="4592"/>
          </w:tcPr>
          <w:p>
            <w:pPr>
              <w:spacing w:after="40" w:before="40"/>
              <w:jc w:val="left"/>
            </w:pPr>
            <w:r>
              <w:rPr>
                <w:rFonts w:ascii="Times New Roman" w:hAnsi="Times New Roman" w:eastAsia="宋体"/>
                <w:sz w:val="18"/>
              </w:rPr>
              <w:t>1</w:t>
            </w:r>
          </w:p>
        </w:tc>
      </w:tr>
      <w:tr>
        <w:tc>
          <w:tcPr>
            <w:tcW w:type="dxa" w:w="4592"/>
            <w:shd w:val="clear" w:color="auto" w:fill="F7F8FA"/>
          </w:tcPr>
          <w:p>
            <w:pPr>
              <w:spacing w:after="40" w:before="40"/>
              <w:jc w:val="left"/>
            </w:pPr>
            <w:r>
              <w:rPr>
                <w:rFonts w:ascii="Times New Roman" w:hAnsi="Times New Roman" w:eastAsia="宋体"/>
                <w:sz w:val="18"/>
              </w:rPr>
              <w:t>Attention-Layer Composition</w:t>
            </w:r>
          </w:p>
        </w:tc>
        <w:tc>
          <w:tcPr>
            <w:tcW w:type="dxa" w:w="4592"/>
            <w:shd w:val="clear" w:color="auto" w:fill="F7F8FA"/>
          </w:tcPr>
          <w:p>
            <w:pPr>
              <w:spacing w:after="40" w:before="40"/>
              <w:jc w:val="left"/>
            </w:pPr>
            <w:r>
              <w:rPr>
                <w:rFonts w:ascii="Times New Roman" w:hAnsi="Times New Roman" w:eastAsia="宋体"/>
                <w:sz w:val="18"/>
              </w:rPr>
              <w:t>69 KDA + 24 Gated MLA</w:t>
            </w:r>
          </w:p>
        </w:tc>
      </w:tr>
      <w:tr>
        <w:tc>
          <w:tcPr>
            <w:tcW w:type="dxa" w:w="4592"/>
          </w:tcPr>
          <w:p>
            <w:pPr>
              <w:spacing w:after="40" w:before="40"/>
              <w:jc w:val="left"/>
            </w:pPr>
            <w:r>
              <w:rPr>
                <w:rFonts w:ascii="Times New Roman" w:hAnsi="Times New Roman" w:eastAsia="宋体"/>
                <w:sz w:val="18"/>
              </w:rPr>
              <w:t>Attention Hidden Dimension</w:t>
            </w:r>
          </w:p>
        </w:tc>
        <w:tc>
          <w:tcPr>
            <w:tcW w:type="dxa" w:w="4592"/>
          </w:tcPr>
          <w:p>
            <w:pPr>
              <w:spacing w:after="40" w:before="40"/>
              <w:jc w:val="left"/>
            </w:pPr>
            <w:r>
              <w:rPr>
                <w:rFonts w:ascii="Times New Roman" w:hAnsi="Times New Roman" w:eastAsia="宋体"/>
                <w:sz w:val="18"/>
              </w:rPr>
              <w:t>7168</w:t>
            </w:r>
          </w:p>
        </w:tc>
      </w:tr>
      <w:tr>
        <w:tc>
          <w:tcPr>
            <w:tcW w:type="dxa" w:w="4592"/>
            <w:shd w:val="clear" w:color="auto" w:fill="F7F8FA"/>
          </w:tcPr>
          <w:p>
            <w:pPr>
              <w:spacing w:after="40" w:before="40"/>
              <w:jc w:val="left"/>
            </w:pPr>
            <w:r>
              <w:rPr>
                <w:rFonts w:ascii="Times New Roman" w:hAnsi="Times New Roman" w:eastAsia="宋体"/>
                <w:sz w:val="18"/>
              </w:rPr>
              <w:t>Number of Attention Heads</w:t>
            </w:r>
          </w:p>
        </w:tc>
        <w:tc>
          <w:tcPr>
            <w:tcW w:type="dxa" w:w="4592"/>
            <w:shd w:val="clear" w:color="auto" w:fill="F7F8FA"/>
          </w:tcPr>
          <w:p>
            <w:pPr>
              <w:spacing w:after="40" w:before="40"/>
              <w:jc w:val="left"/>
            </w:pPr>
            <w:r>
              <w:rPr>
                <w:rFonts w:ascii="Times New Roman" w:hAnsi="Times New Roman" w:eastAsia="宋体"/>
                <w:sz w:val="18"/>
              </w:rPr>
              <w:t>96</w:t>
            </w:r>
          </w:p>
        </w:tc>
      </w:tr>
      <w:tr>
        <w:tc>
          <w:tcPr>
            <w:tcW w:type="dxa" w:w="4592"/>
          </w:tcPr>
          <w:p>
            <w:pPr>
              <w:spacing w:after="40" w:before="40"/>
              <w:jc w:val="left"/>
            </w:pPr>
            <w:r>
              <w:rPr>
                <w:rFonts w:ascii="Times New Roman" w:hAnsi="Times New Roman" w:eastAsia="宋体"/>
                <w:sz w:val="18"/>
              </w:rPr>
              <w:t>Latent MoE Dimension</w:t>
            </w:r>
          </w:p>
        </w:tc>
        <w:tc>
          <w:tcPr>
            <w:tcW w:type="dxa" w:w="4592"/>
          </w:tcPr>
          <w:p>
            <w:pPr>
              <w:spacing w:after="40" w:before="40"/>
              <w:jc w:val="left"/>
            </w:pPr>
            <w:r>
              <w:rPr>
                <w:rFonts w:ascii="Times New Roman" w:hAnsi="Times New Roman" w:eastAsia="宋体"/>
                <w:sz w:val="18"/>
              </w:rPr>
              <w:t>3584</w:t>
            </w:r>
          </w:p>
        </w:tc>
      </w:tr>
      <w:tr>
        <w:tc>
          <w:tcPr>
            <w:tcW w:type="dxa" w:w="4592"/>
            <w:shd w:val="clear" w:color="auto" w:fill="F7F8FA"/>
          </w:tcPr>
          <w:p>
            <w:pPr>
              <w:spacing w:after="40" w:before="40"/>
              <w:jc w:val="left"/>
            </w:pPr>
            <w:r>
              <w:rPr>
                <w:rFonts w:ascii="Times New Roman" w:hAnsi="Times New Roman" w:eastAsia="宋体"/>
                <w:sz w:val="18"/>
              </w:rPr>
              <w:t>MoE Hidden Dimension (per Expert)</w:t>
            </w:r>
          </w:p>
        </w:tc>
        <w:tc>
          <w:tcPr>
            <w:tcW w:type="dxa" w:w="4592"/>
            <w:shd w:val="clear" w:color="auto" w:fill="F7F8FA"/>
          </w:tcPr>
          <w:p>
            <w:pPr>
              <w:spacing w:after="40" w:before="40"/>
              <w:jc w:val="left"/>
            </w:pPr>
            <w:r>
              <w:rPr>
                <w:rFonts w:ascii="Times New Roman" w:hAnsi="Times New Roman" w:eastAsia="宋体"/>
                <w:sz w:val="18"/>
              </w:rPr>
              <w:t>3072</w:t>
            </w:r>
          </w:p>
        </w:tc>
      </w:tr>
      <w:tr>
        <w:tc>
          <w:tcPr>
            <w:tcW w:type="dxa" w:w="4592"/>
          </w:tcPr>
          <w:p>
            <w:pPr>
              <w:spacing w:after="40" w:before="40"/>
              <w:jc w:val="left"/>
            </w:pPr>
            <w:r>
              <w:rPr>
                <w:rFonts w:ascii="Times New Roman" w:hAnsi="Times New Roman" w:eastAsia="宋体"/>
                <w:sz w:val="18"/>
              </w:rPr>
              <w:t>Number of Experts</w:t>
            </w:r>
          </w:p>
        </w:tc>
        <w:tc>
          <w:tcPr>
            <w:tcW w:type="dxa" w:w="4592"/>
          </w:tcPr>
          <w:p>
            <w:pPr>
              <w:spacing w:after="40" w:before="40"/>
              <w:jc w:val="left"/>
            </w:pPr>
            <w:r>
              <w:rPr>
                <w:rFonts w:ascii="Times New Roman" w:hAnsi="Times New Roman" w:eastAsia="宋体"/>
                <w:sz w:val="18"/>
              </w:rPr>
              <w:t>896</w:t>
            </w:r>
          </w:p>
        </w:tc>
      </w:tr>
      <w:tr>
        <w:tc>
          <w:tcPr>
            <w:tcW w:type="dxa" w:w="4592"/>
            <w:shd w:val="clear" w:color="auto" w:fill="F7F8FA"/>
          </w:tcPr>
          <w:p>
            <w:pPr>
              <w:spacing w:after="40" w:before="40"/>
              <w:jc w:val="left"/>
            </w:pPr>
            <w:r>
              <w:rPr>
                <w:rFonts w:ascii="Times New Roman" w:hAnsi="Times New Roman" w:eastAsia="宋体"/>
                <w:sz w:val="18"/>
              </w:rPr>
              <w:t>Selected Experts per Token</w:t>
            </w:r>
          </w:p>
        </w:tc>
        <w:tc>
          <w:tcPr>
            <w:tcW w:type="dxa" w:w="4592"/>
            <w:shd w:val="clear" w:color="auto" w:fill="F7F8FA"/>
          </w:tcPr>
          <w:p>
            <w:pPr>
              <w:spacing w:after="40" w:before="40"/>
              <w:jc w:val="left"/>
            </w:pPr>
            <w:r>
              <w:rPr>
                <w:rFonts w:ascii="Times New Roman" w:hAnsi="Times New Roman" w:eastAsia="宋体"/>
                <w:sz w:val="18"/>
              </w:rPr>
              <w:t>16</w:t>
            </w:r>
          </w:p>
        </w:tc>
      </w:tr>
      <w:tr>
        <w:tc>
          <w:tcPr>
            <w:tcW w:type="dxa" w:w="4592"/>
          </w:tcPr>
          <w:p>
            <w:pPr>
              <w:spacing w:after="40" w:before="40"/>
              <w:jc w:val="left"/>
            </w:pPr>
            <w:r>
              <w:rPr>
                <w:rFonts w:ascii="Times New Roman" w:hAnsi="Times New Roman" w:eastAsia="宋体"/>
                <w:sz w:val="18"/>
              </w:rPr>
              <w:t>Number of Shared Experts</w:t>
            </w:r>
          </w:p>
        </w:tc>
        <w:tc>
          <w:tcPr>
            <w:tcW w:type="dxa" w:w="4592"/>
          </w:tcPr>
          <w:p>
            <w:pPr>
              <w:spacing w:after="40" w:before="40"/>
              <w:jc w:val="left"/>
            </w:pPr>
            <w:r>
              <w:rPr>
                <w:rFonts w:ascii="Times New Roman" w:hAnsi="Times New Roman" w:eastAsia="宋体"/>
                <w:sz w:val="18"/>
              </w:rPr>
              <w:t>2</w:t>
            </w:r>
          </w:p>
        </w:tc>
      </w:tr>
      <w:tr>
        <w:tc>
          <w:tcPr>
            <w:tcW w:type="dxa" w:w="4592"/>
            <w:shd w:val="clear" w:color="auto" w:fill="F7F8FA"/>
          </w:tcPr>
          <w:p>
            <w:pPr>
              <w:spacing w:after="40" w:before="40"/>
              <w:jc w:val="left"/>
            </w:pPr>
            <w:r>
              <w:rPr>
                <w:rFonts w:ascii="Times New Roman" w:hAnsi="Times New Roman" w:eastAsia="宋体"/>
                <w:sz w:val="18"/>
              </w:rPr>
              <w:t>Vocabulary Size</w:t>
            </w:r>
          </w:p>
        </w:tc>
        <w:tc>
          <w:tcPr>
            <w:tcW w:type="dxa" w:w="4592"/>
            <w:shd w:val="clear" w:color="auto" w:fill="F7F8FA"/>
          </w:tcPr>
          <w:p>
            <w:pPr>
              <w:spacing w:after="40" w:before="40"/>
              <w:jc w:val="left"/>
            </w:pPr>
            <w:r>
              <w:rPr>
                <w:rFonts w:ascii="Times New Roman" w:hAnsi="Times New Roman" w:eastAsia="宋体"/>
                <w:sz w:val="18"/>
              </w:rPr>
              <w:t>160K</w:t>
            </w:r>
          </w:p>
        </w:tc>
      </w:tr>
      <w:tr>
        <w:tc>
          <w:tcPr>
            <w:tcW w:type="dxa" w:w="4592"/>
          </w:tcPr>
          <w:p>
            <w:pPr>
              <w:spacing w:after="40" w:before="40"/>
              <w:jc w:val="left"/>
            </w:pPr>
            <w:r>
              <w:rPr>
                <w:rFonts w:ascii="Times New Roman" w:hAnsi="Times New Roman" w:eastAsia="宋体"/>
                <w:sz w:val="18"/>
              </w:rPr>
              <w:t>Context Length</w:t>
            </w:r>
          </w:p>
        </w:tc>
        <w:tc>
          <w:tcPr>
            <w:tcW w:type="dxa" w:w="4592"/>
          </w:tcPr>
          <w:p>
            <w:pPr>
              <w:spacing w:after="40" w:before="40"/>
              <w:jc w:val="left"/>
            </w:pPr>
            <w:r>
              <w:rPr>
                <w:rFonts w:ascii="Times New Roman" w:hAnsi="Times New Roman" w:eastAsia="宋体"/>
                <w:sz w:val="18"/>
              </w:rPr>
              <w:t>1048576</w:t>
            </w:r>
          </w:p>
        </w:tc>
      </w:tr>
      <w:tr>
        <w:tc>
          <w:tcPr>
            <w:tcW w:type="dxa" w:w="4592"/>
            <w:shd w:val="clear" w:color="auto" w:fill="F7F8FA"/>
          </w:tcPr>
          <w:p>
            <w:pPr>
              <w:spacing w:after="40" w:before="40"/>
              <w:jc w:val="left"/>
            </w:pPr>
            <w:r>
              <w:rPr>
                <w:rFonts w:ascii="Times New Roman" w:hAnsi="Times New Roman" w:eastAsia="宋体"/>
                <w:sz w:val="18"/>
              </w:rPr>
              <w:t>Attention Mechanism</w:t>
            </w:r>
          </w:p>
        </w:tc>
        <w:tc>
          <w:tcPr>
            <w:tcW w:type="dxa" w:w="4592"/>
            <w:shd w:val="clear" w:color="auto" w:fill="F7F8FA"/>
          </w:tcPr>
          <w:p>
            <w:pPr>
              <w:spacing w:after="40" w:before="40"/>
              <w:jc w:val="left"/>
            </w:pPr>
            <w:r>
              <w:rPr>
                <w:rFonts w:ascii="Times New Roman" w:hAnsi="Times New Roman" w:eastAsia="宋体"/>
                <w:sz w:val="18"/>
              </w:rPr>
              <w:t>KDA &amp; Gated MLA</w:t>
            </w:r>
          </w:p>
        </w:tc>
      </w:tr>
      <w:tr>
        <w:tc>
          <w:tcPr>
            <w:tcW w:type="dxa" w:w="4592"/>
          </w:tcPr>
          <w:p>
            <w:pPr>
              <w:spacing w:after="40" w:before="40"/>
              <w:jc w:val="left"/>
            </w:pPr>
            <w:r>
              <w:rPr>
                <w:rFonts w:ascii="Times New Roman" w:hAnsi="Times New Roman" w:eastAsia="宋体"/>
                <w:sz w:val="18"/>
              </w:rPr>
              <w:t>Activation Function</w:t>
            </w:r>
          </w:p>
        </w:tc>
        <w:tc>
          <w:tcPr>
            <w:tcW w:type="dxa" w:w="4592"/>
          </w:tcPr>
          <w:p>
            <w:pPr>
              <w:spacing w:after="40" w:before="40"/>
              <w:jc w:val="left"/>
            </w:pPr>
            <w:r>
              <w:rPr>
                <w:rFonts w:ascii="Times New Roman" w:hAnsi="Times New Roman" w:eastAsia="宋体"/>
                <w:sz w:val="18"/>
              </w:rPr>
              <w:t>SiTU-GLU</w:t>
            </w:r>
          </w:p>
        </w:tc>
      </w:tr>
      <w:tr>
        <w:tc>
          <w:tcPr>
            <w:tcW w:type="dxa" w:w="4592"/>
            <w:shd w:val="clear" w:color="auto" w:fill="F7F8FA"/>
          </w:tcPr>
          <w:p>
            <w:pPr>
              <w:spacing w:after="40" w:before="40"/>
              <w:jc w:val="left"/>
            </w:pPr>
            <w:r>
              <w:rPr>
                <w:rFonts w:ascii="Times New Roman" w:hAnsi="Times New Roman" w:eastAsia="宋体"/>
                <w:sz w:val="18"/>
              </w:rPr>
              <w:t>Vision Encoder</w:t>
            </w:r>
          </w:p>
        </w:tc>
        <w:tc>
          <w:tcPr>
            <w:tcW w:type="dxa" w:w="4592"/>
            <w:shd w:val="clear" w:color="auto" w:fill="F7F8FA"/>
          </w:tcPr>
          <w:p>
            <w:pPr>
              <w:spacing w:after="40" w:before="40"/>
              <w:jc w:val="left"/>
            </w:pPr>
            <w:r>
              <w:rPr>
                <w:rFonts w:ascii="Times New Roman" w:hAnsi="Times New Roman" w:eastAsia="宋体"/>
                <w:sz w:val="18"/>
              </w:rPr>
              <w:t>MoonViT-V2（401M 参数）</w:t>
            </w:r>
          </w:p>
        </w:tc>
      </w:tr>
      <w:tr>
        <w:tc>
          <w:tcPr>
            <w:tcW w:type="dxa" w:w="4592"/>
          </w:tcPr>
          <w:p>
            <w:pPr>
              <w:spacing w:after="40" w:before="40"/>
              <w:jc w:val="left"/>
            </w:pPr>
            <w:r>
              <w:rPr>
                <w:rFonts w:ascii="Times New Roman" w:hAnsi="Times New Roman" w:eastAsia="宋体"/>
                <w:sz w:val="18"/>
              </w:rPr>
              <w:t>Quantization</w:t>
            </w:r>
          </w:p>
        </w:tc>
        <w:tc>
          <w:tcPr>
            <w:tcW w:type="dxa" w:w="4592"/>
          </w:tcPr>
          <w:p>
            <w:pPr>
              <w:spacing w:after="40" w:before="40"/>
              <w:jc w:val="left"/>
            </w:pPr>
            <w:r>
              <w:rPr>
                <w:rFonts w:ascii="Times New Roman" w:hAnsi="Times New Roman" w:eastAsia="宋体"/>
                <w:sz w:val="18"/>
              </w:rPr>
              <w:t>MXFP4 weights / MXFP8 activations (quantization-aware training)</w:t>
            </w:r>
          </w:p>
        </w:tc>
      </w:tr>
      <w:tr>
        <w:tc>
          <w:tcPr>
            <w:tcW w:type="dxa" w:w="4592"/>
            <w:shd w:val="clear" w:color="auto" w:fill="F7F8FA"/>
          </w:tcPr>
          <w:p>
            <w:pPr>
              <w:spacing w:after="40" w:before="40"/>
              <w:jc w:val="left"/>
            </w:pPr>
            <w:r>
              <w:rPr>
                <w:rFonts w:ascii="Times New Roman" w:hAnsi="Times New Roman" w:eastAsia="宋体"/>
                <w:sz w:val="18"/>
              </w:rPr>
              <w:t>Modality</w:t>
            </w:r>
          </w:p>
        </w:tc>
        <w:tc>
          <w:tcPr>
            <w:tcW w:type="dxa" w:w="4592"/>
            <w:shd w:val="clear" w:color="auto" w:fill="F7F8FA"/>
          </w:tcPr>
          <w:p>
            <w:pPr>
              <w:spacing w:after="40" w:before="40"/>
              <w:jc w:val="left"/>
            </w:pPr>
            <w:r>
              <w:rPr>
                <w:rFonts w:ascii="Times New Roman" w:hAnsi="Times New Roman" w:eastAsia="宋体"/>
                <w:sz w:val="18"/>
              </w:rPr>
              <w:t>Text, Image</w:t>
            </w:r>
          </w:p>
        </w:tc>
      </w:tr>
    </w:tbl>
    <w:p>
      <w:pPr>
        <w:spacing w:after="80"/>
      </w:pPr>
    </w:p>
    <w:p>
      <w:pPr>
        <w:spacing w:after="120" w:line="324" w:lineRule="auto"/>
      </w:pPr>
      <w:r>
        <w:rPr>
          <w:rFonts w:ascii="Times New Roman" w:hAnsi="Times New Roman" w:eastAsia="宋体"/>
          <w:sz w:val="21"/>
        </w:rPr>
        <w:t>原文引述："Kimi K3 is an open-weight, native multimodal agentic model and our most capable model to date. It is a 2.8T-parameter model built on Kimi Delta Attention (KDA) and Attention Residuals (AttnRes), with native vision capabilities and a 1-million-token context window."</w:t>
      </w:r>
    </w:p>
    <w:p>
      <w:pPr>
        <w:spacing w:after="120" w:line="324" w:lineRule="auto"/>
      </w:pPr>
      <w:r>
        <w:rPr>
          <w:rFonts w:ascii="Times New Roman" w:hAnsi="Times New Roman" w:eastAsia="宋体"/>
          <w:b/>
          <w:sz w:val="21"/>
        </w:rPr>
        <w:t>关键性</w:t>
      </w:r>
      <w:r>
        <w:rPr>
          <w:rFonts w:ascii="Times New Roman" w:hAnsi="Times New Roman" w:eastAsia="宋体"/>
          <w:sz w:val="21"/>
        </w:rPr>
        <w:t>：</w:t>
      </w:r>
      <w:r>
        <w:rPr>
          <w:rFonts w:ascii="Consolas" w:hAnsi="Consolas" w:eastAsia="Consolas"/>
          <w:sz w:val="20"/>
        </w:rPr>
        <w:t>Quantization: MXFP4 weights</w:t>
      </w:r>
      <w:r>
        <w:rPr>
          <w:rFonts w:ascii="Times New Roman" w:hAnsi="Times New Roman" w:eastAsia="宋体"/>
          <w:sz w:val="21"/>
        </w:rPr>
        <w:t xml:space="preserve"> 是量化感知训练（QAT）的原生权重格式，不是事后压缩。这是单机能装下 2.8T 模型的前提，直接决定本项目技术可行性。</w:t>
      </w:r>
    </w:p>
    <w:p>
      <w:pPr>
        <w:pStyle w:val="Heading2"/>
        <w:keepNext/>
        <w:spacing w:before="320" w:after="120"/>
      </w:pPr>
      <w:r>
        <w:rPr>
          <w:rFonts w:ascii="Segoe UI" w:hAnsi="Segoe UI" w:eastAsia="微软雅黑"/>
          <w:b/>
          <w:color w:val="1F3B63"/>
          <w:sz w:val="30"/>
        </w:rPr>
        <w:t>S-02 发布时间线</w:t>
      </w:r>
    </w:p>
    <w:p>
      <w:pPr>
        <w:pStyle w:val="ListBullet"/>
        <w:spacing w:after="60" w:line="312" w:lineRule="auto"/>
        <w:ind w:left="425"/>
      </w:pPr>
      <w:r>
        <w:rPr>
          <w:rFonts w:ascii="Times New Roman" w:hAnsi="Times New Roman" w:eastAsia="宋体"/>
          <w:sz w:val="21"/>
        </w:rPr>
        <w:t>托管 API 上线：</w:t>
      </w:r>
      <w:r>
        <w:rPr>
          <w:rFonts w:ascii="Times New Roman" w:hAnsi="Times New Roman" w:eastAsia="宋体"/>
          <w:b/>
          <w:sz w:val="21"/>
        </w:rPr>
        <w:t>2026-07-16</w:t>
      </w:r>
      <w:r>
        <w:rPr>
          <w:rFonts w:ascii="Times New Roman" w:hAnsi="Times New Roman" w:eastAsia="宋体"/>
          <w:sz w:val="21"/>
        </w:rPr>
        <w:t>。来源：OpenRouter 模型页 &lt;https://openrouter.ai/moonshotai/kimi-k3&gt; 标注 "Jul 16, 2026"；Puter 教程亦称 "released July 16, 2026"。</w:t>
      </w:r>
    </w:p>
    <w:p>
      <w:pPr>
        <w:pStyle w:val="ListBullet"/>
        <w:spacing w:after="60" w:line="312" w:lineRule="auto"/>
        <w:ind w:left="425"/>
      </w:pPr>
      <w:r>
        <w:rPr>
          <w:rFonts w:ascii="Times New Roman" w:hAnsi="Times New Roman" w:eastAsia="宋体"/>
          <w:sz w:val="21"/>
        </w:rPr>
        <w:t>开放权重：</w:t>
      </w:r>
      <w:r>
        <w:rPr>
          <w:rFonts w:ascii="Times New Roman" w:hAnsi="Times New Roman" w:eastAsia="宋体"/>
          <w:b/>
          <w:sz w:val="21"/>
        </w:rPr>
        <w:t>2026-07-27</w:t>
      </w:r>
      <w:r>
        <w:rPr>
          <w:rFonts w:ascii="Times New Roman" w:hAnsi="Times New Roman" w:eastAsia="宋体"/>
          <w:sz w:val="21"/>
        </w:rPr>
        <w:t xml:space="preserve">。来源：GitHub 仓库创建时间戳 </w:t>
      </w:r>
      <w:r>
        <w:rPr>
          <w:rFonts w:ascii="Consolas" w:hAnsi="Consolas" w:eastAsia="Consolas"/>
          <w:sz w:val="20"/>
        </w:rPr>
        <w:t>2026-07-27T08:01:37Z</w:t>
      </w:r>
      <w:r>
        <w:rPr>
          <w:rFonts w:ascii="Times New Roman" w:hAnsi="Times New Roman" w:eastAsia="宋体"/>
          <w:sz w:val="21"/>
        </w:rPr>
        <w:t>；Unite.AI 报道 "Moonshot AI 于 2026 年 7 月 27 日发布了 Kimi K3 模型的完整权重，距离北京实验室将该模型作为托管服务推出仅仅 11 天"。</w:t>
      </w:r>
    </w:p>
    <w:p>
      <w:pPr>
        <w:spacing w:after="120" w:line="324" w:lineRule="auto"/>
      </w:pPr>
      <w:r>
        <w:rPr>
          <w:rFonts w:ascii="Times New Roman" w:hAnsi="Times New Roman" w:eastAsia="宋体"/>
          <w:b/>
          <w:sz w:val="21"/>
        </w:rPr>
        <w:t>关键性</w:t>
      </w:r>
      <w:r>
        <w:rPr>
          <w:rFonts w:ascii="Times New Roman" w:hAnsi="Times New Roman" w:eastAsia="宋体"/>
          <w:sz w:val="21"/>
        </w:rPr>
        <w:t xml:space="preserve">：截至本报告日，K3 开放权重仅 </w:t>
      </w:r>
      <w:r>
        <w:rPr>
          <w:rFonts w:ascii="Times New Roman" w:hAnsi="Times New Roman" w:eastAsia="宋体"/>
          <w:b/>
          <w:sz w:val="21"/>
        </w:rPr>
        <w:t>9 天</w:t>
      </w:r>
      <w:r>
        <w:rPr>
          <w:rFonts w:ascii="Times New Roman" w:hAnsi="Times New Roman" w:eastAsia="宋体"/>
          <w:sz w:val="21"/>
        </w:rPr>
        <w:t>。所有第三方实测数据都是 day-0 到 day-9 之间产生的，工程栈仍在快速变动，吞吐数据的时效性有限。这一点必须在结论中如实声明。</w:t>
      </w:r>
    </w:p>
    <w:p>
      <w:pPr>
        <w:pStyle w:val="Heading2"/>
        <w:keepNext/>
        <w:spacing w:before="320" w:after="120"/>
      </w:pPr>
      <w:r>
        <w:rPr>
          <w:rFonts w:ascii="Segoe UI" w:hAnsi="Segoe UI" w:eastAsia="微软雅黑"/>
          <w:b/>
          <w:color w:val="1F3B63"/>
          <w:sz w:val="30"/>
        </w:rPr>
        <w:t>S-03 Kimi K3 许可证</w:t>
      </w:r>
    </w:p>
    <w:p>
      <w:pPr>
        <w:spacing w:after="120" w:line="324" w:lineRule="auto"/>
      </w:pPr>
      <w:r>
        <w:rPr>
          <w:rFonts w:ascii="Times New Roman" w:hAnsi="Times New Roman" w:eastAsia="宋体"/>
          <w:sz w:val="21"/>
        </w:rPr>
        <w:t>来源：&lt;https://github.com/MoonshotAI/Kimi-K3/blob/main/LICENSE&gt;</w:t>
      </w:r>
    </w:p>
    <w:p>
      <w:pPr>
        <w:spacing w:after="120" w:line="324" w:lineRule="auto"/>
      </w:pPr>
      <w:r>
        <w:rPr>
          <w:rFonts w:ascii="Times New Roman" w:hAnsi="Times New Roman" w:eastAsia="宋体"/>
          <w:sz w:val="21"/>
        </w:rPr>
        <w:t>授权正文原文：</w:t>
      </w:r>
    </w:p>
    <w:p>
      <w:pPr>
        <w:spacing w:before="80" w:after="160"/>
        <w:ind w:left="454"/>
        <w:shd w:val="clear" w:color="auto" w:fill="F7F7F9"/>
      </w:pPr>
      <w:r>
        <w:rPr>
          <w:rFonts w:ascii="Times New Roman" w:hAnsi="Times New Roman" w:eastAsia="宋体"/>
          <w:i/>
          <w:sz w:val="20"/>
        </w:rPr>
        <w:t>Permission is hereby granted, free of charge, to any person (the "Licensee") obtaining a copy of this software — including the model weights, parameters, configuration files, inference and training code, and associated documentation (collectively, the "Software") — to deal in the Software without restriction. This includes, without limitation, the rights to use, copy, modify, merge, publish, distribute, sublicense, and/or sell copies of the Software; to run, deploy, fine-tune, or otherwise modify the Software and create derivative works from it...</w:t>
      </w:r>
    </w:p>
    <w:p>
      <w:pPr>
        <w:spacing w:after="120" w:line="324" w:lineRule="auto"/>
      </w:pPr>
      <w:r>
        <w:rPr>
          <w:rFonts w:ascii="Times New Roman" w:hAnsi="Times New Roman" w:eastAsia="宋体"/>
          <w:sz w:val="21"/>
        </w:rPr>
        <w:t>第 2 条（MaaS 门槛）原文：</w:t>
      </w:r>
    </w:p>
    <w:p>
      <w:pPr>
        <w:spacing w:before="80" w:after="160"/>
        <w:ind w:left="454"/>
        <w:shd w:val="clear" w:color="auto" w:fill="F7F7F9"/>
      </w:pPr>
      <w:r>
        <w:rPr>
          <w:rFonts w:ascii="Times New Roman" w:hAnsi="Times New Roman" w:eastAsia="宋体"/>
          <w:i/>
          <w:sz w:val="20"/>
        </w:rPr>
        <w:t>If the Licensee or any of its affiliates operates a Model as a Service business, and the aggregate revenue of the Licensee and its affiliates exceeds 20 million US dollars (or the equivalent in other currencies) in total over any consecutive 12 months, the Licensee must enter into a separate agreement with Moonshot AI before using the Software or its derivative works for any commercial purpose.</w:t>
      </w:r>
    </w:p>
    <w:p>
      <w:pPr>
        <w:spacing w:after="120" w:line="324" w:lineRule="auto"/>
      </w:pPr>
      <w:r>
        <w:rPr>
          <w:rFonts w:ascii="Times New Roman" w:hAnsi="Times New Roman" w:eastAsia="宋体"/>
          <w:sz w:val="21"/>
        </w:rPr>
        <w:t>第 3 条（署名门槛）原文：</w:t>
      </w:r>
    </w:p>
    <w:p>
      <w:pPr>
        <w:spacing w:before="80" w:after="160"/>
        <w:ind w:left="454"/>
        <w:shd w:val="clear" w:color="auto" w:fill="F7F7F9"/>
      </w:pPr>
      <w:r>
        <w:rPr>
          <w:rFonts w:ascii="Times New Roman" w:hAnsi="Times New Roman" w:eastAsia="宋体"/>
          <w:i/>
          <w:sz w:val="20"/>
        </w:rPr>
        <w:t>If the Software (or any derivative works thereof) is used for any of the Licensee's commercial products or services that have more than 100 million monthly active users, or more than 20 million US dollars (or equivalent in other currencies) in monthly revenue, "Kimi K3" must be prominently displayed on the user interface of such product or service.</w:t>
      </w:r>
    </w:p>
    <w:p>
      <w:pPr>
        <w:spacing w:after="120" w:line="324" w:lineRule="auto"/>
      </w:pPr>
      <w:r>
        <w:rPr>
          <w:rFonts w:ascii="Times New Roman" w:hAnsi="Times New Roman" w:eastAsia="宋体"/>
          <w:sz w:val="21"/>
        </w:rPr>
        <w:t>第 4 条（豁免）原文：</w:t>
      </w:r>
    </w:p>
    <w:p>
      <w:pPr>
        <w:spacing w:before="80" w:after="160"/>
        <w:ind w:left="454"/>
        <w:shd w:val="clear" w:color="auto" w:fill="F7F7F9"/>
      </w:pPr>
      <w:r>
        <w:rPr>
          <w:rFonts w:ascii="Times New Roman" w:hAnsi="Times New Roman" w:eastAsia="宋体"/>
          <w:i/>
          <w:sz w:val="20"/>
        </w:rPr>
        <w:t>The requirements set forth in Sections 2 and 3 do not apply to: (a) internal use of the Software, defined as any use that does not make the Software, its outputs, or its underlying capabilities available to third parties; or (b) any use of the Software accessed through Moonshot AI's official products or certified inference partners.</w:t>
      </w:r>
    </w:p>
    <w:p>
      <w:pPr>
        <w:spacing w:after="120" w:line="324" w:lineRule="auto"/>
      </w:pPr>
      <w:r>
        <w:rPr>
          <w:rFonts w:ascii="Times New Roman" w:hAnsi="Times New Roman" w:eastAsia="宋体"/>
          <w:b/>
          <w:sz w:val="21"/>
        </w:rPr>
        <w:t>对本项目的判定</w:t>
      </w:r>
      <w:r>
        <w:rPr>
          <w:rFonts w:ascii="Times New Roman" w:hAnsi="Times New Roman" w:eastAsia="宋体"/>
          <w:sz w:val="21"/>
        </w:rPr>
        <w:t>：本项目属于第 2 条定义的 MaaS（向第三方提供推理访问，第三方可对输入与参数施加实质控制）。但触发另签协议需要</w:t>
      </w:r>
      <w:r>
        <w:rPr>
          <w:rFonts w:ascii="Times New Roman" w:hAnsi="Times New Roman" w:eastAsia="宋体"/>
          <w:b/>
          <w:sz w:val="21"/>
        </w:rPr>
        <w:t>同时</w:t>
      </w:r>
      <w:r>
        <w:rPr>
          <w:rFonts w:ascii="Times New Roman" w:hAnsi="Times New Roman" w:eastAsia="宋体"/>
          <w:sz w:val="21"/>
        </w:rPr>
        <w:t>满足「经营 MaaS」与「集团连续 12 个月累计收入超 2000 万美元」两个条件。本项目远低于收入门槛，因此</w:t>
      </w:r>
      <w:r>
        <w:rPr>
          <w:rFonts w:ascii="Times New Roman" w:hAnsi="Times New Roman" w:eastAsia="宋体"/>
          <w:b/>
          <w:sz w:val="21"/>
        </w:rPr>
        <w:t>可免费商用与转售，无需另行签约、无需付费</w:t>
      </w:r>
      <w:r>
        <w:rPr>
          <w:rFonts w:ascii="Times New Roman" w:hAnsi="Times New Roman" w:eastAsia="宋体"/>
          <w:sz w:val="21"/>
        </w:rPr>
        <w:t>。第 3 条署名义务同样因门槛（1 亿 MAU 或月收入 2000 万美元）而不触发。</w:t>
      </w:r>
    </w:p>
    <w:p>
      <w:pPr>
        <w:pStyle w:val="Heading2"/>
        <w:keepNext/>
        <w:spacing w:before="320" w:after="120"/>
      </w:pPr>
      <w:r>
        <w:rPr>
          <w:rFonts w:ascii="Segoe UI" w:hAnsi="Segoe UI" w:eastAsia="微软雅黑"/>
          <w:b/>
          <w:color w:val="1F3B63"/>
          <w:sz w:val="30"/>
        </w:rPr>
        <w:t>S-04 NVIDIA B300 官方规格</w:t>
      </w:r>
    </w:p>
    <w:p>
      <w:pPr>
        <w:spacing w:after="120" w:line="324" w:lineRule="auto"/>
      </w:pPr>
      <w:r>
        <w:rPr>
          <w:rFonts w:ascii="Times New Roman" w:hAnsi="Times New Roman" w:eastAsia="宋体"/>
          <w:sz w:val="21"/>
        </w:rPr>
        <w:t>来源：NVIDIA 官方技术博客 &lt;https://developer.nvidia.com/blog/inside-nvidia-blackwell-ultra-the-chip-powering-the-ai-factory-era/&gt;</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val="clear" w:color="auto" w:fill="1F3B63"/>
          </w:tcPr>
          <w:p>
            <w:pPr>
              <w:spacing w:after="40" w:before="40"/>
              <w:jc w:val="center"/>
            </w:pPr>
            <w:r>
              <w:rPr>
                <w:rFonts w:ascii="Segoe UI" w:hAnsi="Segoe UI" w:eastAsia="微软雅黑"/>
                <w:b/>
                <w:color w:val="FFFFFF"/>
                <w:sz w:val="18"/>
              </w:rPr>
              <w:t>项</w:t>
            </w:r>
          </w:p>
        </w:tc>
        <w:tc>
          <w:tcPr>
            <w:tcW w:type="dxa" w:w="4592"/>
            <w:shd w:val="clear" w:color="auto" w:fill="1F3B63"/>
          </w:tcPr>
          <w:p>
            <w:pPr>
              <w:spacing w:after="40" w:before="40"/>
              <w:jc w:val="center"/>
            </w:pPr>
            <w:r>
              <w:rPr>
                <w:rFonts w:ascii="Segoe UI" w:hAnsi="Segoe UI" w:eastAsia="微软雅黑"/>
                <w:b/>
                <w:color w:val="FFFFFF"/>
                <w:sz w:val="18"/>
              </w:rPr>
              <w:t>值</w:t>
            </w:r>
          </w:p>
        </w:tc>
      </w:tr>
      <w:tr>
        <w:tc>
          <w:tcPr>
            <w:tcW w:type="dxa" w:w="4592"/>
          </w:tcPr>
          <w:p>
            <w:pPr>
              <w:spacing w:after="40" w:before="40"/>
              <w:jc w:val="left"/>
            </w:pPr>
            <w:r>
              <w:rPr>
                <w:rFonts w:ascii="Times New Roman" w:hAnsi="Times New Roman" w:eastAsia="宋体"/>
                <w:sz w:val="18"/>
              </w:rPr>
              <w:t>HBM 容量</w:t>
            </w:r>
          </w:p>
        </w:tc>
        <w:tc>
          <w:tcPr>
            <w:tcW w:type="dxa" w:w="4592"/>
          </w:tcPr>
          <w:p>
            <w:pPr>
              <w:spacing w:after="40" w:before="40"/>
              <w:jc w:val="left"/>
            </w:pPr>
            <w:r>
              <w:rPr>
                <w:rFonts w:ascii="Times New Roman" w:hAnsi="Times New Roman" w:eastAsia="宋体"/>
                <w:sz w:val="18"/>
              </w:rPr>
              <w:t>288 GB HBM3e（8 个 12-Hi 堆栈，16×512-bit 控制器，总位宽 8192-bit）</w:t>
            </w:r>
          </w:p>
        </w:tc>
      </w:tr>
      <w:tr>
        <w:tc>
          <w:tcPr>
            <w:tcW w:type="dxa" w:w="4592"/>
            <w:shd w:val="clear" w:color="auto" w:fill="F7F8FA"/>
          </w:tcPr>
          <w:p>
            <w:pPr>
              <w:spacing w:after="40" w:before="40"/>
              <w:jc w:val="left"/>
            </w:pPr>
            <w:r>
              <w:rPr>
                <w:rFonts w:ascii="Times New Roman" w:hAnsi="Times New Roman" w:eastAsia="宋体"/>
                <w:sz w:val="18"/>
              </w:rPr>
              <w:t>HBM 带宽</w:t>
            </w:r>
          </w:p>
        </w:tc>
        <w:tc>
          <w:tcPr>
            <w:tcW w:type="dxa" w:w="4592"/>
            <w:shd w:val="clear" w:color="auto" w:fill="F7F8FA"/>
          </w:tcPr>
          <w:p>
            <w:pPr>
              <w:spacing w:after="40" w:before="40"/>
              <w:jc w:val="left"/>
            </w:pPr>
            <w:r>
              <w:rPr>
                <w:rFonts w:ascii="Times New Roman" w:hAnsi="Times New Roman" w:eastAsia="宋体"/>
                <w:b/>
                <w:sz w:val="18"/>
              </w:rPr>
              <w:t>8 TB/s 每 GPU</w:t>
            </w:r>
            <w:r>
              <w:rPr>
                <w:rFonts w:ascii="Times New Roman" w:hAnsi="Times New Roman" w:eastAsia="宋体"/>
                <w:sz w:val="18"/>
              </w:rPr>
              <w:t>（H100 为 3.35 TB/s，提升 2.4 倍）</w:t>
            </w:r>
          </w:p>
        </w:tc>
      </w:tr>
      <w:tr>
        <w:tc>
          <w:tcPr>
            <w:tcW w:type="dxa" w:w="4592"/>
          </w:tcPr>
          <w:p>
            <w:pPr>
              <w:spacing w:after="40" w:before="40"/>
              <w:jc w:val="left"/>
            </w:pPr>
            <w:r>
              <w:rPr>
                <w:rFonts w:ascii="Times New Roman" w:hAnsi="Times New Roman" w:eastAsia="宋体"/>
                <w:sz w:val="18"/>
              </w:rPr>
              <w:t>NVFP4 稠密算力</w:t>
            </w:r>
          </w:p>
        </w:tc>
        <w:tc>
          <w:tcPr>
            <w:tcW w:type="dxa" w:w="4592"/>
          </w:tcPr>
          <w:p>
            <w:pPr>
              <w:spacing w:after="40" w:before="40"/>
              <w:jc w:val="left"/>
            </w:pPr>
            <w:r>
              <w:rPr>
                <w:rFonts w:ascii="Times New Roman" w:hAnsi="Times New Roman" w:eastAsia="宋体"/>
                <w:sz w:val="18"/>
              </w:rPr>
              <w:t>15 PFLOPS（稀疏 20 PFLOPS）</w:t>
            </w:r>
          </w:p>
        </w:tc>
      </w:tr>
      <w:tr>
        <w:tc>
          <w:tcPr>
            <w:tcW w:type="dxa" w:w="4592"/>
            <w:shd w:val="clear" w:color="auto" w:fill="F7F8FA"/>
          </w:tcPr>
          <w:p>
            <w:pPr>
              <w:spacing w:after="40" w:before="40"/>
              <w:jc w:val="left"/>
            </w:pPr>
            <w:r>
              <w:rPr>
                <w:rFonts w:ascii="Times New Roman" w:hAnsi="Times New Roman" w:eastAsia="宋体"/>
                <w:sz w:val="18"/>
              </w:rPr>
              <w:t>FP8 稠密算力</w:t>
            </w:r>
          </w:p>
        </w:tc>
        <w:tc>
          <w:tcPr>
            <w:tcW w:type="dxa" w:w="4592"/>
            <w:shd w:val="clear" w:color="auto" w:fill="F7F8FA"/>
          </w:tcPr>
          <w:p>
            <w:pPr>
              <w:spacing w:after="40" w:before="40"/>
              <w:jc w:val="left"/>
            </w:pPr>
            <w:r>
              <w:rPr>
                <w:rFonts w:ascii="Times New Roman" w:hAnsi="Times New Roman" w:eastAsia="宋体"/>
                <w:sz w:val="18"/>
              </w:rPr>
              <w:t>5 PFLOPS（稀疏 10 PFLOPS）</w:t>
            </w:r>
          </w:p>
        </w:tc>
      </w:tr>
      <w:tr>
        <w:tc>
          <w:tcPr>
            <w:tcW w:type="dxa" w:w="4592"/>
          </w:tcPr>
          <w:p>
            <w:pPr>
              <w:spacing w:after="40" w:before="40"/>
              <w:jc w:val="left"/>
            </w:pPr>
            <w:r>
              <w:rPr>
                <w:rFonts w:ascii="Times New Roman" w:hAnsi="Times New Roman" w:eastAsia="宋体"/>
                <w:sz w:val="18"/>
              </w:rPr>
              <w:t>NVLink 带宽</w:t>
            </w:r>
          </w:p>
        </w:tc>
        <w:tc>
          <w:tcPr>
            <w:tcW w:type="dxa" w:w="4592"/>
          </w:tcPr>
          <w:p>
            <w:pPr>
              <w:spacing w:after="40" w:before="40"/>
              <w:jc w:val="left"/>
            </w:pPr>
            <w:r>
              <w:rPr>
                <w:rFonts w:ascii="Times New Roman" w:hAnsi="Times New Roman" w:eastAsia="宋体"/>
                <w:sz w:val="18"/>
              </w:rPr>
              <w:t>1.8 TB/s</w:t>
            </w:r>
          </w:p>
        </w:tc>
      </w:tr>
      <w:tr>
        <w:tc>
          <w:tcPr>
            <w:tcW w:type="dxa" w:w="4592"/>
            <w:shd w:val="clear" w:color="auto" w:fill="F7F8FA"/>
          </w:tcPr>
          <w:p>
            <w:pPr>
              <w:spacing w:after="40" w:before="40"/>
              <w:jc w:val="left"/>
            </w:pPr>
            <w:r>
              <w:rPr>
                <w:rFonts w:ascii="Times New Roman" w:hAnsi="Times New Roman" w:eastAsia="宋体"/>
                <w:sz w:val="18"/>
              </w:rPr>
              <w:t>最大功耗 TGP</w:t>
            </w:r>
          </w:p>
        </w:tc>
        <w:tc>
          <w:tcPr>
            <w:tcW w:type="dxa" w:w="4592"/>
            <w:shd w:val="clear" w:color="auto" w:fill="F7F8FA"/>
          </w:tcPr>
          <w:p>
            <w:pPr>
              <w:spacing w:after="40" w:before="40"/>
              <w:jc w:val="left"/>
            </w:pPr>
            <w:r>
              <w:rPr>
                <w:rFonts w:ascii="Times New Roman" w:hAnsi="Times New Roman" w:eastAsia="宋体"/>
                <w:sz w:val="18"/>
              </w:rPr>
              <w:t>1400 W</w:t>
            </w:r>
          </w:p>
        </w:tc>
      </w:tr>
      <w:tr>
        <w:tc>
          <w:tcPr>
            <w:tcW w:type="dxa" w:w="4592"/>
          </w:tcPr>
          <w:p>
            <w:pPr>
              <w:spacing w:after="40" w:before="40"/>
              <w:jc w:val="left"/>
            </w:pPr>
            <w:r>
              <w:rPr>
                <w:rFonts w:ascii="Times New Roman" w:hAnsi="Times New Roman" w:eastAsia="宋体"/>
                <w:sz w:val="18"/>
              </w:rPr>
              <w:t>SM 数</w:t>
            </w:r>
          </w:p>
        </w:tc>
        <w:tc>
          <w:tcPr>
            <w:tcW w:type="dxa" w:w="4592"/>
          </w:tcPr>
          <w:p>
            <w:pPr>
              <w:spacing w:after="40" w:before="40"/>
              <w:jc w:val="left"/>
            </w:pPr>
            <w:r>
              <w:rPr>
                <w:rFonts w:ascii="Times New Roman" w:hAnsi="Times New Roman" w:eastAsia="宋体"/>
                <w:sz w:val="18"/>
              </w:rPr>
              <w:t>最多 160；CUDA 核 20,480</w:t>
            </w:r>
          </w:p>
        </w:tc>
      </w:tr>
      <w:tr>
        <w:tc>
          <w:tcPr>
            <w:tcW w:type="dxa" w:w="4592"/>
            <w:shd w:val="clear" w:color="auto" w:fill="F7F8FA"/>
          </w:tcPr>
          <w:p>
            <w:pPr>
              <w:spacing w:after="40" w:before="40"/>
              <w:jc w:val="left"/>
            </w:pPr>
            <w:r>
              <w:rPr>
                <w:rFonts w:ascii="Times New Roman" w:hAnsi="Times New Roman" w:eastAsia="宋体"/>
                <w:sz w:val="18"/>
              </w:rPr>
              <w:t>晶体管</w:t>
            </w:r>
          </w:p>
        </w:tc>
        <w:tc>
          <w:tcPr>
            <w:tcW w:type="dxa" w:w="4592"/>
            <w:shd w:val="clear" w:color="auto" w:fill="F7F8FA"/>
          </w:tcPr>
          <w:p>
            <w:pPr>
              <w:spacing w:after="40" w:before="40"/>
              <w:jc w:val="left"/>
            </w:pPr>
            <w:r>
              <w:rPr>
                <w:rFonts w:ascii="Times New Roman" w:hAnsi="Times New Roman" w:eastAsia="宋体"/>
                <w:sz w:val="18"/>
              </w:rPr>
              <w:t>208B，双 die，TSMC 4NP</w:t>
            </w:r>
          </w:p>
        </w:tc>
      </w:tr>
    </w:tbl>
    <w:p>
      <w:pPr>
        <w:spacing w:after="80"/>
      </w:pPr>
    </w:p>
    <w:p>
      <w:pPr>
        <w:spacing w:after="120" w:line="324" w:lineRule="auto"/>
      </w:pPr>
      <w:r>
        <w:rPr>
          <w:rFonts w:ascii="Times New Roman" w:hAnsi="Times New Roman" w:eastAsia="宋体"/>
          <w:sz w:val="21"/>
        </w:rPr>
        <w:t>原文引述："With 288 GB of HBM3e per GPU, it offers 3.6x more on-package memory than H100 and 50% more than Blackwell... This capacity is critical for hosting trillion-parameter models."</w:t>
      </w:r>
    </w:p>
    <w:p>
      <w:pPr>
        <w:spacing w:after="120" w:line="324" w:lineRule="auto"/>
      </w:pPr>
      <w:r>
        <w:rPr>
          <w:rFonts w:ascii="Times New Roman" w:hAnsi="Times New Roman" w:eastAsia="宋体"/>
          <w:sz w:val="21"/>
        </w:rPr>
        <w:t>实际可用容量（低于标称）：</w:t>
      </w:r>
    </w:p>
    <w:p>
      <w:pPr>
        <w:pStyle w:val="ListBullet"/>
        <w:spacing w:after="60" w:line="312" w:lineRule="auto"/>
        <w:ind w:left="425"/>
      </w:pPr>
      <w:r>
        <w:rPr>
          <w:rFonts w:ascii="Times New Roman" w:hAnsi="Times New Roman" w:eastAsia="宋体"/>
          <w:sz w:val="21"/>
        </w:rPr>
        <w:t>glennklockwood 技术笔记 &lt;https://www.glennklockwood.com/garden/processors/b300&gt;：B300 可用 270 GB，GB300 可用 279 GB。</w:t>
      </w:r>
    </w:p>
    <w:p>
      <w:pPr>
        <w:pStyle w:val="ListBullet"/>
        <w:spacing w:after="60" w:line="312" w:lineRule="auto"/>
        <w:ind w:left="425"/>
      </w:pPr>
      <w:r>
        <w:rPr>
          <w:rFonts w:ascii="Times New Roman" w:hAnsi="Times New Roman" w:eastAsia="宋体"/>
          <w:sz w:val="21"/>
        </w:rPr>
        <w:t>GPUStack 八卡实测环境记录：</w:t>
      </w:r>
      <w:r>
        <w:rPr>
          <w:rFonts w:ascii="Times New Roman" w:hAnsi="Times New Roman" w:eastAsia="宋体"/>
          <w:b/>
          <w:sz w:val="21"/>
        </w:rPr>
        <w:t>每 GPU 可见显存 267.69 GiB</w:t>
      </w:r>
      <w:r>
        <w:rPr>
          <w:rFonts w:ascii="Times New Roman" w:hAnsi="Times New Roman" w:eastAsia="宋体"/>
          <w:sz w:val="21"/>
        </w:rPr>
        <w:t>（见 S-06）。</w:t>
      </w:r>
    </w:p>
    <w:p>
      <w:pPr>
        <w:spacing w:after="120" w:line="324" w:lineRule="auto"/>
      </w:pPr>
      <w:r>
        <w:rPr>
          <w:rFonts w:ascii="Times New Roman" w:hAnsi="Times New Roman" w:eastAsia="宋体"/>
          <w:b/>
          <w:sz w:val="21"/>
        </w:rPr>
        <w:t>取用</w:t>
      </w:r>
      <w:r>
        <w:rPr>
          <w:rFonts w:ascii="Times New Roman" w:hAnsi="Times New Roman" w:eastAsia="宋体"/>
          <w:sz w:val="21"/>
        </w:rPr>
        <w:t>：模型中的单卡可用显存采用</w:t>
      </w:r>
      <w:r>
        <w:rPr>
          <w:rFonts w:ascii="Times New Roman" w:hAnsi="Times New Roman" w:eastAsia="宋体"/>
          <w:b/>
          <w:sz w:val="21"/>
        </w:rPr>
        <w:t>实测值 267.69 GiB</w:t>
      </w:r>
      <w:r>
        <w:rPr>
          <w:rFonts w:ascii="Times New Roman" w:hAnsi="Times New Roman" w:eastAsia="宋体"/>
          <w:sz w:val="21"/>
        </w:rPr>
        <w:t>，而非标称 288 GB。用标称值会高估约 7%。</w:t>
      </w:r>
    </w:p>
    <w:p>
      <w:pPr>
        <w:pStyle w:val="Heading2"/>
        <w:keepNext/>
        <w:spacing w:before="320" w:after="120"/>
      </w:pPr>
      <w:r>
        <w:rPr>
          <w:rFonts w:ascii="Segoe UI" w:hAnsi="Segoe UI" w:eastAsia="微软雅黑"/>
          <w:b/>
          <w:color w:val="1F3B63"/>
          <w:sz w:val="30"/>
        </w:rPr>
        <w:t>S-05 K3 在 8×B300 上的实测显存与冷启动</w:t>
      </w:r>
    </w:p>
    <w:p>
      <w:pPr>
        <w:spacing w:after="120" w:line="324" w:lineRule="auto"/>
      </w:pPr>
      <w:r>
        <w:rPr>
          <w:rFonts w:ascii="Times New Roman" w:hAnsi="Times New Roman" w:eastAsia="宋体"/>
          <w:sz w:val="21"/>
        </w:rPr>
        <w:t>来源：DevGENT《Kimi K3 on B300×8: MXFP4 Memory and Day-0 Paths》&lt;https://devgent.org/en/kimi-k3-on-b300-8-mxfp4-memory-and-day-0-paths-en/&gt;</w:t>
      </w:r>
    </w:p>
    <w:p>
      <w:pPr>
        <w:spacing w:after="120" w:line="324" w:lineRule="auto"/>
      </w:pPr>
      <w:r>
        <w:rPr>
          <w:rFonts w:ascii="Times New Roman" w:hAnsi="Times New Roman" w:eastAsia="宋体"/>
          <w:sz w:val="21"/>
        </w:rPr>
        <w:t>原文数据：</w:t>
      </w:r>
    </w:p>
    <w:p>
      <w:pPr>
        <w:spacing w:before="80" w:after="160"/>
        <w:ind w:left="454"/>
        <w:shd w:val="clear" w:color="auto" w:fill="F7F7F9"/>
      </w:pPr>
      <w:r>
        <w:rPr>
          <w:rFonts w:ascii="Times New Roman" w:hAnsi="Times New Roman" w:eastAsia="宋体"/>
          <w:i/>
          <w:sz w:val="20"/>
        </w:rPr>
        <w:t xml:space="preserve">- Measured weights: ~195.86 GB/GPU, ~1.57TB total - Cold start: ~88.8 minutes total (~81.4 minutes load). Restarts are expensive - Steady-state per rank: ~248/275 GB used; Mamba/KDA state 17.13GB; MLA KV 1.70GB (65,984 tokens/rank) - Example effective context with DCP8: 65,984 × 8 = 527,872 tokens at </w:t>
      </w:r>
      <w:r>
        <w:rPr>
          <w:rFonts w:ascii="Consolas" w:hAnsi="Consolas" w:eastAsia="Consolas"/>
          <w:i/>
          <w:sz w:val="19"/>
        </w:rPr>
        <w:t>--mamba-full-memory-ratio=5</w:t>
      </w:r>
    </w:p>
    <w:p>
      <w:pPr>
        <w:spacing w:after="120" w:line="324" w:lineRule="auto"/>
      </w:pPr>
      <w:r>
        <w:rPr>
          <w:rFonts w:ascii="Times New Roman" w:hAnsi="Times New Roman" w:eastAsia="宋体"/>
          <w:sz w:val="21"/>
        </w:rPr>
        <w:t>结论原文："The short answer is conditional yes. If you have MXFP4 weights plus B300 288GB×8 (about 2.3TB aggregate HBM), single-node Day-0 validation is realistic."</w:t>
      </w:r>
    </w:p>
    <w:p>
      <w:pPr>
        <w:spacing w:after="120" w:line="324" w:lineRule="auto"/>
      </w:pPr>
      <w:r>
        <w:rPr>
          <w:rFonts w:ascii="Times New Roman" w:hAnsi="Times New Roman" w:eastAsia="宋体"/>
          <w:b/>
          <w:sz w:val="21"/>
        </w:rPr>
        <w:t>关键性</w:t>
      </w:r>
      <w:r>
        <w:rPr>
          <w:rFonts w:ascii="Times New Roman" w:hAnsi="Times New Roman" w:eastAsia="宋体"/>
          <w:sz w:val="21"/>
        </w:rPr>
        <w:t>：</w:t>
      </w:r>
    </w:p>
    <w:p>
      <w:pPr>
        <w:pStyle w:val="ListNumber"/>
        <w:spacing w:after="60" w:line="312" w:lineRule="auto"/>
        <w:ind w:left="425"/>
      </w:pPr>
      <w:r>
        <w:rPr>
          <w:rFonts w:ascii="Times New Roman" w:hAnsi="Times New Roman" w:eastAsia="宋体"/>
          <w:sz w:val="21"/>
        </w:rPr>
        <w:t>权重 1.57 TB &lt; 八卡可用 2.14 TB（267.69 GiB × 8），</w:t>
      </w:r>
      <w:r>
        <w:rPr>
          <w:rFonts w:ascii="Times New Roman" w:hAnsi="Times New Roman" w:eastAsia="宋体"/>
          <w:b/>
          <w:sz w:val="21"/>
        </w:rPr>
        <w:t>单机装得下</w:t>
      </w:r>
      <w:r>
        <w:rPr>
          <w:rFonts w:ascii="Times New Roman" w:hAnsi="Times New Roman" w:eastAsia="宋体"/>
          <w:sz w:val="21"/>
        </w:rPr>
        <w:t>，这是全项目的技术前提。</w:t>
      </w:r>
    </w:p>
    <w:p>
      <w:pPr>
        <w:pStyle w:val="ListNumber"/>
        <w:spacing w:after="60" w:line="312" w:lineRule="auto"/>
        <w:ind w:left="425"/>
      </w:pPr>
      <w:r>
        <w:rPr>
          <w:rFonts w:ascii="Times New Roman" w:hAnsi="Times New Roman" w:eastAsia="宋体"/>
          <w:sz w:val="21"/>
        </w:rPr>
        <w:t>冷启动约 89 分钟，意味着节点重启成本极高，直接影响可用性设计与运维自动化的可行边界。</w:t>
      </w:r>
    </w:p>
    <w:p>
      <w:pPr>
        <w:pStyle w:val="Heading2"/>
        <w:keepNext/>
        <w:spacing w:before="320" w:after="120"/>
      </w:pPr>
      <w:r>
        <w:rPr>
          <w:rFonts w:ascii="Segoe UI" w:hAnsi="Segoe UI" w:eastAsia="微软雅黑"/>
          <w:b/>
          <w:color w:val="1F3B63"/>
          <w:sz w:val="30"/>
        </w:rPr>
        <w:t>S-06 吞吐实测（一）：并发扫描</w:t>
      </w:r>
    </w:p>
    <w:p>
      <w:pPr>
        <w:spacing w:after="120" w:line="324" w:lineRule="auto"/>
      </w:pPr>
      <w:r>
        <w:rPr>
          <w:rFonts w:ascii="Times New Roman" w:hAnsi="Times New Roman" w:eastAsia="宋体"/>
          <w:sz w:val="21"/>
        </w:rPr>
        <w:t>来源：Openzeka 白皮书《Kimi K3 Inference Benchmark on DGX-B300》&lt;https://whitepapers.openzeka.com/papers/kimi-k3-dgx-b300-inference-benchmark/&gt;（报告日期 2026 年 7 月）</w:t>
      </w:r>
    </w:p>
    <w:p>
      <w:pPr>
        <w:spacing w:after="120" w:line="324" w:lineRule="auto"/>
      </w:pPr>
      <w:r>
        <w:rPr>
          <w:rFonts w:ascii="Times New Roman" w:hAnsi="Times New Roman" w:eastAsia="宋体"/>
          <w:sz w:val="21"/>
        </w:rPr>
        <w:t>测试条件原文：</w:t>
      </w:r>
    </w:p>
    <w:p>
      <w:pPr>
        <w:pStyle w:val="ListBullet"/>
        <w:spacing w:after="60" w:line="312" w:lineRule="auto"/>
        <w:ind w:left="425"/>
      </w:pPr>
      <w:r>
        <w:rPr>
          <w:rFonts w:ascii="Times New Roman" w:hAnsi="Times New Roman" w:eastAsia="宋体"/>
          <w:sz w:val="21"/>
        </w:rPr>
        <w:t>GPU: NVIDIA DGX-B300（Blackwell Ultra, 8×GPU）</w:t>
      </w:r>
    </w:p>
    <w:p>
      <w:pPr>
        <w:pStyle w:val="ListBullet"/>
        <w:spacing w:after="60" w:line="312" w:lineRule="auto"/>
        <w:ind w:left="425"/>
      </w:pPr>
      <w:r>
        <w:rPr>
          <w:rFonts w:ascii="Times New Roman" w:hAnsi="Times New Roman" w:eastAsia="宋体"/>
          <w:sz w:val="21"/>
        </w:rPr>
        <w:t>Parallelism: Tensor Parallel = 8 (TP8)</w:t>
      </w:r>
    </w:p>
    <w:p>
      <w:pPr>
        <w:pStyle w:val="ListBullet"/>
        <w:spacing w:after="60" w:line="312" w:lineRule="auto"/>
        <w:ind w:left="425"/>
      </w:pPr>
      <w:r>
        <w:rPr>
          <w:rFonts w:ascii="Times New Roman" w:hAnsi="Times New Roman" w:eastAsia="宋体"/>
          <w:sz w:val="21"/>
        </w:rPr>
        <w:t>KV Cache: FP8 (</w:t>
      </w:r>
      <w:r>
        <w:rPr>
          <w:rFonts w:ascii="Consolas" w:hAnsi="Consolas" w:eastAsia="Consolas"/>
          <w:sz w:val="20"/>
        </w:rPr>
        <w:t>--kv-cache-dtype fp8</w:t>
      </w:r>
      <w:r>
        <w:rPr>
          <w:rFonts w:ascii="Times New Roman" w:hAnsi="Times New Roman" w:eastAsia="宋体"/>
          <w:sz w:val="21"/>
        </w:rPr>
        <w:t>)</w:t>
      </w:r>
    </w:p>
    <w:p>
      <w:pPr>
        <w:pStyle w:val="ListBullet"/>
        <w:spacing w:after="60" w:line="312" w:lineRule="auto"/>
        <w:ind w:left="425"/>
      </w:pPr>
      <w:r>
        <w:rPr>
          <w:rFonts w:ascii="Times New Roman" w:hAnsi="Times New Roman" w:eastAsia="宋体"/>
          <w:sz w:val="21"/>
        </w:rPr>
        <w:t>Memory Utilization: 0.95</w:t>
      </w:r>
    </w:p>
    <w:p>
      <w:pPr>
        <w:pStyle w:val="ListBullet"/>
        <w:spacing w:after="60" w:line="312" w:lineRule="auto"/>
        <w:ind w:left="425"/>
      </w:pPr>
      <w:r>
        <w:rPr>
          <w:rFonts w:ascii="Times New Roman" w:hAnsi="Times New Roman" w:eastAsia="宋体"/>
          <w:sz w:val="21"/>
        </w:rPr>
        <w:t>Prefix Caching: Enabled (</w:t>
      </w:r>
      <w:r>
        <w:rPr>
          <w:rFonts w:ascii="Consolas" w:hAnsi="Consolas" w:eastAsia="Consolas"/>
          <w:sz w:val="20"/>
        </w:rPr>
        <w:t>--enable-prefix-caching</w:t>
      </w:r>
      <w:r>
        <w:rPr>
          <w:rFonts w:ascii="Times New Roman" w:hAnsi="Times New Roman" w:eastAsia="宋体"/>
          <w:sz w:val="21"/>
        </w:rPr>
        <w:t>)</w:t>
      </w:r>
    </w:p>
    <w:p>
      <w:pPr>
        <w:pStyle w:val="ListBullet"/>
        <w:spacing w:after="60" w:line="312" w:lineRule="auto"/>
        <w:ind w:left="425"/>
      </w:pPr>
      <w:r>
        <w:rPr>
          <w:rFonts w:ascii="Times New Roman" w:hAnsi="Times New Roman" w:eastAsia="宋体"/>
          <w:sz w:val="21"/>
        </w:rPr>
        <w:t>Model: Moonshot AI Kimi K3</w:t>
      </w:r>
    </w:p>
    <w:p>
      <w:pPr>
        <w:spacing w:after="120" w:line="324" w:lineRule="auto"/>
      </w:pPr>
      <w:r>
        <w:rPr>
          <w:rFonts w:ascii="Times New Roman" w:hAnsi="Times New Roman" w:eastAsia="宋体"/>
          <w:sz w:val="21"/>
        </w:rPr>
        <w:t>聚合输出吞吐（tok/s）随并发数变化：</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c>
          <w:tcPr>
            <w:tcW w:type="dxa" w:w="1837"/>
            <w:shd w:val="clear" w:color="auto" w:fill="1F3B63"/>
          </w:tcPr>
          <w:p>
            <w:pPr>
              <w:spacing w:after="40" w:before="40"/>
              <w:jc w:val="center"/>
            </w:pPr>
            <w:r>
              <w:rPr>
                <w:rFonts w:ascii="Segoe UI" w:hAnsi="Segoe UI" w:eastAsia="微软雅黑"/>
                <w:b/>
                <w:color w:val="FFFFFF"/>
                <w:sz w:val="18"/>
              </w:rPr>
              <w:t>并发 c</w:t>
            </w:r>
          </w:p>
        </w:tc>
        <w:tc>
          <w:tcPr>
            <w:tcW w:type="dxa" w:w="1837"/>
            <w:shd w:val="clear" w:color="auto" w:fill="1F3B63"/>
          </w:tcPr>
          <w:p>
            <w:pPr>
              <w:spacing w:after="40" w:before="40"/>
              <w:jc w:val="center"/>
            </w:pPr>
            <w:r>
              <w:rPr>
                <w:rFonts w:ascii="Segoe UI" w:hAnsi="Segoe UI" w:eastAsia="微软雅黑"/>
                <w:b/>
                <w:color w:val="FFFFFF"/>
                <w:sz w:val="18"/>
              </w:rPr>
              <w:t>vLLM 直出</w:t>
            </w:r>
          </w:p>
        </w:tc>
        <w:tc>
          <w:tcPr>
            <w:tcW w:type="dxa" w:w="1837"/>
            <w:shd w:val="clear" w:color="auto" w:fill="1F3B63"/>
          </w:tcPr>
          <w:p>
            <w:pPr>
              <w:spacing w:after="40" w:before="40"/>
              <w:jc w:val="center"/>
            </w:pPr>
            <w:r>
              <w:rPr>
                <w:rFonts w:ascii="Segoe UI" w:hAnsi="Segoe UI" w:eastAsia="微软雅黑"/>
                <w:b/>
                <w:color w:val="FFFFFF"/>
                <w:sz w:val="18"/>
              </w:rPr>
              <w:t>vLLM+投机</w:t>
            </w:r>
          </w:p>
        </w:tc>
        <w:tc>
          <w:tcPr>
            <w:tcW w:type="dxa" w:w="1837"/>
            <w:shd w:val="clear" w:color="auto" w:fill="1F3B63"/>
          </w:tcPr>
          <w:p>
            <w:pPr>
              <w:spacing w:after="40" w:before="40"/>
              <w:jc w:val="center"/>
            </w:pPr>
            <w:r>
              <w:rPr>
                <w:rFonts w:ascii="Segoe UI" w:hAnsi="Segoe UI" w:eastAsia="微软雅黑"/>
                <w:b/>
                <w:color w:val="FFFFFF"/>
                <w:sz w:val="18"/>
              </w:rPr>
              <w:t>SGLang 直出</w:t>
            </w:r>
          </w:p>
        </w:tc>
        <w:tc>
          <w:tcPr>
            <w:tcW w:type="dxa" w:w="1837"/>
            <w:shd w:val="clear" w:color="auto" w:fill="1F3B63"/>
          </w:tcPr>
          <w:p>
            <w:pPr>
              <w:spacing w:after="40" w:before="40"/>
              <w:jc w:val="center"/>
            </w:pPr>
            <w:r>
              <w:rPr>
                <w:rFonts w:ascii="Segoe UI" w:hAnsi="Segoe UI" w:eastAsia="微软雅黑"/>
                <w:b/>
                <w:color w:val="FFFFFF"/>
                <w:sz w:val="18"/>
              </w:rPr>
              <w:t>SGLang+投机</w:t>
            </w:r>
          </w:p>
        </w:tc>
      </w:tr>
      <w:tr>
        <w:tc>
          <w:tcPr>
            <w:tcW w:type="dxa" w:w="1837"/>
          </w:tcPr>
          <w:p>
            <w:pPr>
              <w:spacing w:after="40" w:before="40"/>
              <w:jc w:val="left"/>
            </w:pPr>
            <w:r>
              <w:rPr>
                <w:rFonts w:ascii="Times New Roman" w:hAnsi="Times New Roman" w:eastAsia="宋体"/>
                <w:sz w:val="18"/>
              </w:rPr>
              <w:t>1</w:t>
            </w:r>
          </w:p>
        </w:tc>
        <w:tc>
          <w:tcPr>
            <w:tcW w:type="dxa" w:w="1837"/>
          </w:tcPr>
          <w:p>
            <w:pPr>
              <w:spacing w:after="40" w:before="40"/>
              <w:jc w:val="left"/>
            </w:pPr>
            <w:r>
              <w:rPr>
                <w:rFonts w:ascii="Times New Roman" w:hAnsi="Times New Roman" w:eastAsia="宋体"/>
                <w:sz w:val="18"/>
              </w:rPr>
              <w:t>101</w:t>
            </w:r>
          </w:p>
        </w:tc>
        <w:tc>
          <w:tcPr>
            <w:tcW w:type="dxa" w:w="1837"/>
          </w:tcPr>
          <w:p>
            <w:pPr>
              <w:spacing w:after="40" w:before="40"/>
              <w:jc w:val="left"/>
            </w:pPr>
            <w:r>
              <w:rPr>
                <w:rFonts w:ascii="Times New Roman" w:hAnsi="Times New Roman" w:eastAsia="宋体"/>
                <w:sz w:val="18"/>
              </w:rPr>
              <w:t>188</w:t>
            </w:r>
          </w:p>
        </w:tc>
        <w:tc>
          <w:tcPr>
            <w:tcW w:type="dxa" w:w="1837"/>
          </w:tcPr>
          <w:p>
            <w:pPr>
              <w:spacing w:after="40" w:before="40"/>
              <w:jc w:val="left"/>
            </w:pPr>
            <w:r>
              <w:rPr>
                <w:rFonts w:ascii="Times New Roman" w:hAnsi="Times New Roman" w:eastAsia="宋体"/>
                <w:sz w:val="18"/>
              </w:rPr>
              <w:t>83</w:t>
            </w:r>
          </w:p>
        </w:tc>
        <w:tc>
          <w:tcPr>
            <w:tcW w:type="dxa" w:w="1837"/>
          </w:tcPr>
          <w:p>
            <w:pPr>
              <w:spacing w:after="40" w:before="40"/>
              <w:jc w:val="left"/>
            </w:pPr>
            <w:r>
              <w:rPr>
                <w:rFonts w:ascii="Times New Roman" w:hAnsi="Times New Roman" w:eastAsia="宋体"/>
                <w:sz w:val="18"/>
              </w:rPr>
              <w:t>130</w:t>
            </w:r>
          </w:p>
        </w:tc>
      </w:tr>
      <w:tr>
        <w:tc>
          <w:tcPr>
            <w:tcW w:type="dxa" w:w="1837"/>
            <w:shd w:val="clear" w:color="auto" w:fill="F7F8FA"/>
          </w:tcPr>
          <w:p>
            <w:pPr>
              <w:spacing w:after="40" w:before="40"/>
              <w:jc w:val="left"/>
            </w:pPr>
            <w:r>
              <w:rPr>
                <w:rFonts w:ascii="Times New Roman" w:hAnsi="Times New Roman" w:eastAsia="宋体"/>
                <w:sz w:val="18"/>
              </w:rPr>
              <w:t>4</w:t>
            </w:r>
          </w:p>
        </w:tc>
        <w:tc>
          <w:tcPr>
            <w:tcW w:type="dxa" w:w="1837"/>
            <w:shd w:val="clear" w:color="auto" w:fill="F7F8FA"/>
          </w:tcPr>
          <w:p>
            <w:pPr>
              <w:spacing w:after="40" w:before="40"/>
              <w:jc w:val="left"/>
            </w:pPr>
            <w:r>
              <w:rPr>
                <w:rFonts w:ascii="Times New Roman" w:hAnsi="Times New Roman" w:eastAsia="宋体"/>
                <w:sz w:val="18"/>
              </w:rPr>
              <w:t>293</w:t>
            </w:r>
          </w:p>
        </w:tc>
        <w:tc>
          <w:tcPr>
            <w:tcW w:type="dxa" w:w="1837"/>
            <w:shd w:val="clear" w:color="auto" w:fill="F7F8FA"/>
          </w:tcPr>
          <w:p>
            <w:pPr>
              <w:spacing w:after="40" w:before="40"/>
              <w:jc w:val="left"/>
            </w:pPr>
            <w:r>
              <w:rPr>
                <w:rFonts w:ascii="Times New Roman" w:hAnsi="Times New Roman" w:eastAsia="宋体"/>
                <w:sz w:val="18"/>
              </w:rPr>
              <w:t>398</w:t>
            </w:r>
          </w:p>
        </w:tc>
        <w:tc>
          <w:tcPr>
            <w:tcW w:type="dxa" w:w="1837"/>
            <w:shd w:val="clear" w:color="auto" w:fill="F7F8FA"/>
          </w:tcPr>
          <w:p>
            <w:pPr>
              <w:spacing w:after="40" w:before="40"/>
              <w:jc w:val="left"/>
            </w:pPr>
            <w:r>
              <w:rPr>
                <w:rFonts w:ascii="Times New Roman" w:hAnsi="Times New Roman" w:eastAsia="宋体"/>
                <w:sz w:val="18"/>
              </w:rPr>
              <w:t>237</w:t>
            </w:r>
          </w:p>
        </w:tc>
        <w:tc>
          <w:tcPr>
            <w:tcW w:type="dxa" w:w="1837"/>
            <w:shd w:val="clear" w:color="auto" w:fill="F7F8FA"/>
          </w:tcPr>
          <w:p>
            <w:pPr>
              <w:spacing w:after="40" w:before="40"/>
              <w:jc w:val="left"/>
            </w:pPr>
            <w:r>
              <w:rPr>
                <w:rFonts w:ascii="Times New Roman" w:hAnsi="Times New Roman" w:eastAsia="宋体"/>
                <w:sz w:val="18"/>
              </w:rPr>
              <w:t>228</w:t>
            </w:r>
          </w:p>
        </w:tc>
      </w:tr>
      <w:tr>
        <w:tc>
          <w:tcPr>
            <w:tcW w:type="dxa" w:w="1837"/>
          </w:tcPr>
          <w:p>
            <w:pPr>
              <w:spacing w:after="40" w:before="40"/>
              <w:jc w:val="left"/>
            </w:pPr>
            <w:r>
              <w:rPr>
                <w:rFonts w:ascii="Times New Roman" w:hAnsi="Times New Roman" w:eastAsia="宋体"/>
                <w:sz w:val="18"/>
              </w:rPr>
              <w:t>32</w:t>
            </w:r>
          </w:p>
        </w:tc>
        <w:tc>
          <w:tcPr>
            <w:tcW w:type="dxa" w:w="1837"/>
          </w:tcPr>
          <w:p>
            <w:pPr>
              <w:spacing w:after="40" w:before="40"/>
              <w:jc w:val="left"/>
            </w:pPr>
            <w:r>
              <w:rPr>
                <w:rFonts w:ascii="Times New Roman" w:hAnsi="Times New Roman" w:eastAsia="宋体"/>
                <w:sz w:val="18"/>
              </w:rPr>
              <w:t>1126</w:t>
            </w:r>
          </w:p>
        </w:tc>
        <w:tc>
          <w:tcPr>
            <w:tcW w:type="dxa" w:w="1837"/>
          </w:tcPr>
          <w:p>
            <w:pPr>
              <w:spacing w:after="40" w:before="40"/>
              <w:jc w:val="left"/>
            </w:pPr>
            <w:r>
              <w:rPr>
                <w:rFonts w:ascii="Times New Roman" w:hAnsi="Times New Roman" w:eastAsia="宋体"/>
                <w:sz w:val="18"/>
              </w:rPr>
              <w:t>740</w:t>
            </w:r>
          </w:p>
        </w:tc>
        <w:tc>
          <w:tcPr>
            <w:tcW w:type="dxa" w:w="1837"/>
          </w:tcPr>
          <w:p>
            <w:pPr>
              <w:spacing w:after="40" w:before="40"/>
              <w:jc w:val="left"/>
            </w:pPr>
            <w:r>
              <w:rPr>
                <w:rFonts w:ascii="Times New Roman" w:hAnsi="Times New Roman" w:eastAsia="宋体"/>
                <w:sz w:val="18"/>
              </w:rPr>
              <w:t>1074</w:t>
            </w:r>
          </w:p>
        </w:tc>
        <w:tc>
          <w:tcPr>
            <w:tcW w:type="dxa" w:w="1837"/>
          </w:tcPr>
          <w:p>
            <w:pPr>
              <w:spacing w:after="40" w:before="40"/>
              <w:jc w:val="left"/>
            </w:pPr>
            <w:r>
              <w:rPr>
                <w:rFonts w:ascii="Times New Roman" w:hAnsi="Times New Roman" w:eastAsia="宋体"/>
                <w:sz w:val="18"/>
              </w:rPr>
              <w:t>493</w:t>
            </w:r>
          </w:p>
        </w:tc>
      </w:tr>
      <w:tr>
        <w:tc>
          <w:tcPr>
            <w:tcW w:type="dxa" w:w="1837"/>
            <w:shd w:val="clear" w:color="auto" w:fill="F7F8FA"/>
          </w:tcPr>
          <w:p>
            <w:pPr>
              <w:spacing w:after="40" w:before="40"/>
              <w:jc w:val="left"/>
            </w:pPr>
            <w:r>
              <w:rPr>
                <w:rFonts w:ascii="Times New Roman" w:hAnsi="Times New Roman" w:eastAsia="宋体"/>
                <w:sz w:val="18"/>
              </w:rPr>
              <w:t>64</w:t>
            </w:r>
          </w:p>
        </w:tc>
        <w:tc>
          <w:tcPr>
            <w:tcW w:type="dxa" w:w="1837"/>
            <w:shd w:val="clear" w:color="auto" w:fill="F7F8FA"/>
          </w:tcPr>
          <w:p>
            <w:pPr>
              <w:spacing w:after="40" w:before="40"/>
              <w:jc w:val="left"/>
            </w:pPr>
            <w:r>
              <w:rPr>
                <w:rFonts w:ascii="Times New Roman" w:hAnsi="Times New Roman" w:eastAsia="宋体"/>
                <w:b/>
                <w:sz w:val="18"/>
              </w:rPr>
              <w:t>1759</w:t>
            </w:r>
          </w:p>
        </w:tc>
        <w:tc>
          <w:tcPr>
            <w:tcW w:type="dxa" w:w="1837"/>
            <w:shd w:val="clear" w:color="auto" w:fill="F7F8FA"/>
          </w:tcPr>
          <w:p>
            <w:pPr>
              <w:spacing w:after="40" w:before="40"/>
              <w:jc w:val="left"/>
            </w:pPr>
            <w:r>
              <w:rPr>
                <w:rFonts w:ascii="Times New Roman" w:hAnsi="Times New Roman" w:eastAsia="宋体"/>
                <w:sz w:val="18"/>
              </w:rPr>
              <w:t>717</w:t>
            </w:r>
          </w:p>
        </w:tc>
        <w:tc>
          <w:tcPr>
            <w:tcW w:type="dxa" w:w="1837"/>
            <w:shd w:val="clear" w:color="auto" w:fill="F7F8FA"/>
          </w:tcPr>
          <w:p>
            <w:pPr>
              <w:spacing w:after="40" w:before="40"/>
              <w:jc w:val="left"/>
            </w:pPr>
            <w:r>
              <w:rPr>
                <w:rFonts w:ascii="Times New Roman" w:hAnsi="Times New Roman" w:eastAsia="宋体"/>
                <w:b/>
                <w:sz w:val="18"/>
              </w:rPr>
              <w:t>1863</w:t>
            </w:r>
          </w:p>
        </w:tc>
        <w:tc>
          <w:tcPr>
            <w:tcW w:type="dxa" w:w="1837"/>
            <w:shd w:val="clear" w:color="auto" w:fill="F7F8FA"/>
          </w:tcPr>
          <w:p>
            <w:pPr>
              <w:spacing w:after="40" w:before="40"/>
              <w:jc w:val="left"/>
            </w:pPr>
            <w:r>
              <w:rPr>
                <w:rFonts w:ascii="Times New Roman" w:hAnsi="Times New Roman" w:eastAsia="宋体"/>
                <w:sz w:val="18"/>
              </w:rPr>
              <w:t>931</w:t>
            </w:r>
          </w:p>
        </w:tc>
      </w:tr>
    </w:tbl>
    <w:p>
      <w:pPr>
        <w:spacing w:after="80"/>
      </w:pPr>
    </w:p>
    <w:p>
      <w:pPr>
        <w:spacing w:after="120" w:line="324" w:lineRule="auto"/>
      </w:pPr>
      <w:r>
        <w:rPr>
          <w:rFonts w:ascii="Times New Roman" w:hAnsi="Times New Roman" w:eastAsia="宋体"/>
          <w:sz w:val="21"/>
        </w:rPr>
        <w:t>c=64 时的延迟指标：vLLM 直出 TTFT 731.7 ms、ITL 30.8 ms、单用户 27.5 tok/s；SGLang 直出 TTFT 948.4 ms、ITL 27.1 ms、单用户 29.1 tok/s。</w:t>
      </w:r>
    </w:p>
    <w:p>
      <w:pPr>
        <w:spacing w:after="120" w:line="324" w:lineRule="auto"/>
      </w:pPr>
      <w:r>
        <w:rPr>
          <w:rFonts w:ascii="Times New Roman" w:hAnsi="Times New Roman" w:eastAsia="宋体"/>
          <w:sz w:val="21"/>
        </w:rPr>
        <w:t>原文结论："At low load (c=1) speculative decoding yields a clear gain... At high load speculative decoding becomes a bottleneck: vLLM + Spec @c=64: per-user TPS drops to 11 tok/s (vLLM direct 27 tok/s)."</w:t>
      </w:r>
    </w:p>
    <w:p>
      <w:pPr>
        <w:spacing w:after="120" w:line="324" w:lineRule="auto"/>
      </w:pPr>
      <w:r>
        <w:rPr>
          <w:rFonts w:ascii="Times New Roman" w:hAnsi="Times New Roman" w:eastAsia="宋体"/>
          <w:sz w:val="21"/>
        </w:rPr>
        <w:t>注：原始表格中 c=16 一行在抓取文本中有字符损坏（"6?7"），</w:t>
      </w:r>
      <w:r>
        <w:rPr>
          <w:rFonts w:ascii="Times New Roman" w:hAnsi="Times New Roman" w:eastAsia="宋体"/>
          <w:b/>
          <w:sz w:val="21"/>
        </w:rPr>
        <w:t>本报告不使用 c=16 数据点</w:t>
      </w:r>
      <w:r>
        <w:rPr>
          <w:rFonts w:ascii="Times New Roman" w:hAnsi="Times New Roman" w:eastAsia="宋体"/>
          <w:sz w:val="21"/>
        </w:rPr>
        <w:t>。</w:t>
      </w:r>
    </w:p>
    <w:p>
      <w:pPr>
        <w:spacing w:after="120" w:line="324" w:lineRule="auto"/>
      </w:pPr>
      <w:r>
        <w:rPr>
          <w:rFonts w:ascii="Times New Roman" w:hAnsi="Times New Roman" w:eastAsia="宋体"/>
          <w:b/>
          <w:sz w:val="21"/>
        </w:rPr>
        <w:t>取用</w:t>
      </w:r>
      <w:r>
        <w:rPr>
          <w:rFonts w:ascii="Times New Roman" w:hAnsi="Times New Roman" w:eastAsia="宋体"/>
          <w:sz w:val="21"/>
        </w:rPr>
        <w:t xml:space="preserve">：本模型的短上下文满载吞吐基准取 </w:t>
      </w:r>
      <w:r>
        <w:rPr>
          <w:rFonts w:ascii="Times New Roman" w:hAnsi="Times New Roman" w:eastAsia="宋体"/>
          <w:b/>
          <w:sz w:val="21"/>
        </w:rPr>
        <w:t>vLLM 直出 c=64 的 1,759 tok/s</w:t>
      </w:r>
      <w:r>
        <w:rPr>
          <w:rFonts w:ascii="Times New Roman" w:hAnsi="Times New Roman" w:eastAsia="宋体"/>
          <w:sz w:val="21"/>
        </w:rPr>
        <w:t>（保守选择，未取 SGLang 的 1,863）。</w:t>
      </w:r>
    </w:p>
    <w:p>
      <w:pPr>
        <w:pStyle w:val="Heading2"/>
        <w:keepNext/>
        <w:spacing w:before="320" w:after="120"/>
      </w:pPr>
      <w:r>
        <w:rPr>
          <w:rFonts w:ascii="Segoe UI" w:hAnsi="Segoe UI" w:eastAsia="微软雅黑"/>
          <w:b/>
          <w:color w:val="1F3B63"/>
          <w:sz w:val="30"/>
        </w:rPr>
        <w:t>S-07 吞吐实测（二）：长上下文</w:t>
      </w:r>
    </w:p>
    <w:p>
      <w:pPr>
        <w:spacing w:after="120" w:line="324" w:lineRule="auto"/>
      </w:pPr>
      <w:r>
        <w:rPr>
          <w:rFonts w:ascii="Times New Roman" w:hAnsi="Times New Roman" w:eastAsia="宋体"/>
          <w:sz w:val="21"/>
        </w:rPr>
        <w:t>来源：GPUStack《Day 0 Support for Kimi-K3: vLLM vs. SGLang Inference Benchmark on 8×B300 GPUs》&lt;https://dev.to/gpustack/gpustack-day-0-support-for-kimi-k3-vllm-vs-sglang-inference-benchmark-on-8xb300-gpus-2g0g&gt;</w:t>
      </w:r>
    </w:p>
    <w:p>
      <w:pPr>
        <w:spacing w:after="120" w:line="324" w:lineRule="auto"/>
      </w:pPr>
      <w:r>
        <w:rPr>
          <w:rFonts w:ascii="Times New Roman" w:hAnsi="Times New Roman" w:eastAsia="宋体"/>
          <w:sz w:val="21"/>
        </w:rPr>
        <w:t>测试条件原文：单节点 8×NVIDIA B300；每 GPU 可见显存 267.69 GiB；模型 Kimi-K3 (MXFP4)；草稿模型 Kimi-K3-DSpark；输入长度 64K / 200K；输出长度 3K；并发 10；数据集为随机数据。</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color="auto" w:fill="1F3B63"/>
          </w:tcPr>
          <w:p>
            <w:pPr>
              <w:spacing w:after="40" w:before="40"/>
              <w:jc w:val="center"/>
            </w:pPr>
            <w:r>
              <w:rPr>
                <w:rFonts w:ascii="Segoe UI" w:hAnsi="Segoe UI" w:eastAsia="微软雅黑"/>
                <w:b/>
                <w:color w:val="FFFFFF"/>
                <w:sz w:val="18"/>
              </w:rPr>
              <w:t>场景</w:t>
            </w:r>
          </w:p>
        </w:tc>
        <w:tc>
          <w:tcPr>
            <w:tcW w:type="dxa" w:w="3061"/>
            <w:shd w:val="clear" w:color="auto" w:fill="1F3B63"/>
          </w:tcPr>
          <w:p>
            <w:pPr>
              <w:spacing w:after="40" w:before="40"/>
              <w:jc w:val="center"/>
            </w:pPr>
            <w:r>
              <w:rPr>
                <w:rFonts w:ascii="Segoe UI" w:hAnsi="Segoe UI" w:eastAsia="微软雅黑"/>
                <w:b/>
                <w:color w:val="FFFFFF"/>
                <w:sz w:val="18"/>
              </w:rPr>
              <w:t>vLLM</w:t>
            </w:r>
          </w:p>
        </w:tc>
        <w:tc>
          <w:tcPr>
            <w:tcW w:type="dxa" w:w="3061"/>
            <w:shd w:val="clear" w:color="auto" w:fill="1F3B63"/>
          </w:tcPr>
          <w:p>
            <w:pPr>
              <w:spacing w:after="40" w:before="40"/>
              <w:jc w:val="center"/>
            </w:pPr>
            <w:r>
              <w:rPr>
                <w:rFonts w:ascii="Segoe UI" w:hAnsi="Segoe UI" w:eastAsia="微软雅黑"/>
                <w:b/>
                <w:color w:val="FFFFFF"/>
                <w:sz w:val="18"/>
              </w:rPr>
              <w:t>SGLang</w:t>
            </w:r>
          </w:p>
        </w:tc>
      </w:tr>
      <w:tr>
        <w:tc>
          <w:tcPr>
            <w:tcW w:type="dxa" w:w="3061"/>
          </w:tcPr>
          <w:p>
            <w:pPr>
              <w:spacing w:after="40" w:before="40"/>
              <w:jc w:val="left"/>
            </w:pPr>
            <w:r>
              <w:rPr>
                <w:rFonts w:ascii="Times New Roman" w:hAnsi="Times New Roman" w:eastAsia="宋体"/>
                <w:sz w:val="18"/>
              </w:rPr>
              <w:t>64K 稳态解码吞吐</w:t>
            </w:r>
          </w:p>
        </w:tc>
        <w:tc>
          <w:tcPr>
            <w:tcW w:type="dxa" w:w="3061"/>
          </w:tcPr>
          <w:p>
            <w:pPr>
              <w:spacing w:after="40" w:before="40"/>
              <w:jc w:val="left"/>
            </w:pPr>
            <w:r>
              <w:rPr>
                <w:rFonts w:ascii="Times New Roman" w:hAnsi="Times New Roman" w:eastAsia="宋体"/>
                <w:b/>
                <w:sz w:val="18"/>
              </w:rPr>
              <w:t>~501 tok/s</w:t>
            </w:r>
          </w:p>
        </w:tc>
        <w:tc>
          <w:tcPr>
            <w:tcW w:type="dxa" w:w="3061"/>
          </w:tcPr>
          <w:p>
            <w:pPr>
              <w:spacing w:after="40" w:before="40"/>
              <w:jc w:val="left"/>
            </w:pPr>
            <w:r>
              <w:rPr>
                <w:rFonts w:ascii="Times New Roman" w:hAnsi="Times New Roman" w:eastAsia="宋体"/>
                <w:sz w:val="18"/>
              </w:rPr>
              <w:t>~335 tok/s</w:t>
            </w:r>
          </w:p>
        </w:tc>
      </w:tr>
      <w:tr>
        <w:tc>
          <w:tcPr>
            <w:tcW w:type="dxa" w:w="3061"/>
            <w:shd w:val="clear" w:color="auto" w:fill="F7F8FA"/>
          </w:tcPr>
          <w:p>
            <w:pPr>
              <w:spacing w:after="40" w:before="40"/>
              <w:jc w:val="left"/>
            </w:pPr>
            <w:r>
              <w:rPr>
                <w:rFonts w:ascii="Times New Roman" w:hAnsi="Times New Roman" w:eastAsia="宋体"/>
                <w:sz w:val="18"/>
              </w:rPr>
              <w:t>200K 稳态解码吞吐</w:t>
            </w:r>
          </w:p>
        </w:tc>
        <w:tc>
          <w:tcPr>
            <w:tcW w:type="dxa" w:w="3061"/>
            <w:shd w:val="clear" w:color="auto" w:fill="F7F8FA"/>
          </w:tcPr>
          <w:p>
            <w:pPr>
              <w:spacing w:after="40" w:before="40"/>
              <w:jc w:val="left"/>
            </w:pPr>
            <w:r>
              <w:rPr>
                <w:rFonts w:ascii="Times New Roman" w:hAnsi="Times New Roman" w:eastAsia="宋体"/>
                <w:sz w:val="18"/>
              </w:rPr>
              <w:t>~163 tok/s</w:t>
            </w:r>
          </w:p>
        </w:tc>
        <w:tc>
          <w:tcPr>
            <w:tcW w:type="dxa" w:w="3061"/>
            <w:shd w:val="clear" w:color="auto" w:fill="F7F8FA"/>
          </w:tcPr>
          <w:p>
            <w:pPr>
              <w:spacing w:after="40" w:before="40"/>
              <w:jc w:val="left"/>
            </w:pPr>
            <w:r>
              <w:rPr>
                <w:rFonts w:ascii="Times New Roman" w:hAnsi="Times New Roman" w:eastAsia="宋体"/>
                <w:b/>
                <w:sz w:val="18"/>
              </w:rPr>
              <w:t>~268 tok/s</w:t>
            </w:r>
          </w:p>
        </w:tc>
      </w:tr>
      <w:tr>
        <w:tc>
          <w:tcPr>
            <w:tcW w:type="dxa" w:w="3061"/>
          </w:tcPr>
          <w:p>
            <w:pPr>
              <w:spacing w:after="40" w:before="40"/>
              <w:jc w:val="left"/>
            </w:pPr>
            <w:r>
              <w:rPr>
                <w:rFonts w:ascii="Times New Roman" w:hAnsi="Times New Roman" w:eastAsia="宋体"/>
                <w:sz w:val="18"/>
              </w:rPr>
              <w:t>64K 端到端耗时</w:t>
            </w:r>
          </w:p>
        </w:tc>
        <w:tc>
          <w:tcPr>
            <w:tcW w:type="dxa" w:w="3061"/>
          </w:tcPr>
          <w:p>
            <w:pPr>
              <w:spacing w:after="40" w:before="40"/>
              <w:jc w:val="left"/>
            </w:pPr>
            <w:r>
              <w:rPr>
                <w:rFonts w:ascii="Times New Roman" w:hAnsi="Times New Roman" w:eastAsia="宋体"/>
                <w:sz w:val="18"/>
              </w:rPr>
              <w:t>100.5 s</w:t>
            </w:r>
          </w:p>
        </w:tc>
        <w:tc>
          <w:tcPr>
            <w:tcW w:type="dxa" w:w="3061"/>
          </w:tcPr>
          <w:p>
            <w:pPr>
              <w:spacing w:after="40" w:before="40"/>
              <w:jc w:val="left"/>
            </w:pPr>
            <w:r>
              <w:rPr>
                <w:rFonts w:ascii="Times New Roman" w:hAnsi="Times New Roman" w:eastAsia="宋体"/>
                <w:sz w:val="18"/>
              </w:rPr>
              <w:t>150.8 s</w:t>
            </w:r>
          </w:p>
        </w:tc>
      </w:tr>
      <w:tr>
        <w:tc>
          <w:tcPr>
            <w:tcW w:type="dxa" w:w="3061"/>
            <w:shd w:val="clear" w:color="auto" w:fill="F7F8FA"/>
          </w:tcPr>
          <w:p>
            <w:pPr>
              <w:spacing w:after="40" w:before="40"/>
              <w:jc w:val="left"/>
            </w:pPr>
            <w:r>
              <w:rPr>
                <w:rFonts w:ascii="Times New Roman" w:hAnsi="Times New Roman" w:eastAsia="宋体"/>
                <w:sz w:val="18"/>
              </w:rPr>
              <w:t>200K 端到端耗时</w:t>
            </w:r>
          </w:p>
        </w:tc>
        <w:tc>
          <w:tcPr>
            <w:tcW w:type="dxa" w:w="3061"/>
            <w:shd w:val="clear" w:color="auto" w:fill="F7F8FA"/>
          </w:tcPr>
          <w:p>
            <w:pPr>
              <w:spacing w:after="40" w:before="40"/>
              <w:jc w:val="left"/>
            </w:pPr>
            <w:r>
              <w:rPr>
                <w:rFonts w:ascii="Times New Roman" w:hAnsi="Times New Roman" w:eastAsia="宋体"/>
                <w:sz w:val="18"/>
              </w:rPr>
              <w:t>295.2 s</w:t>
            </w:r>
          </w:p>
        </w:tc>
        <w:tc>
          <w:tcPr>
            <w:tcW w:type="dxa" w:w="3061"/>
            <w:shd w:val="clear" w:color="auto" w:fill="F7F8FA"/>
          </w:tcPr>
          <w:p>
            <w:pPr>
              <w:spacing w:after="40" w:before="40"/>
              <w:jc w:val="left"/>
            </w:pPr>
            <w:r>
              <w:rPr>
                <w:rFonts w:ascii="Times New Roman" w:hAnsi="Times New Roman" w:eastAsia="宋体"/>
                <w:sz w:val="18"/>
              </w:rPr>
              <w:t>225.3 s</w:t>
            </w:r>
          </w:p>
        </w:tc>
      </w:tr>
      <w:tr>
        <w:tc>
          <w:tcPr>
            <w:tcW w:type="dxa" w:w="3061"/>
          </w:tcPr>
          <w:p>
            <w:pPr>
              <w:spacing w:after="40" w:before="40"/>
              <w:jc w:val="left"/>
            </w:pPr>
            <w:r>
              <w:rPr>
                <w:rFonts w:ascii="Times New Roman" w:hAnsi="Times New Roman" w:eastAsia="宋体"/>
                <w:sz w:val="18"/>
              </w:rPr>
              <w:t>64K→200K 解码衰减</w:t>
            </w:r>
          </w:p>
        </w:tc>
        <w:tc>
          <w:tcPr>
            <w:tcW w:type="dxa" w:w="3061"/>
          </w:tcPr>
          <w:p>
            <w:pPr>
              <w:spacing w:after="40" w:before="40"/>
              <w:jc w:val="left"/>
            </w:pPr>
            <w:r>
              <w:rPr>
                <w:rFonts w:ascii="Times New Roman" w:hAnsi="Times New Roman" w:eastAsia="宋体"/>
                <w:sz w:val="18"/>
              </w:rPr>
              <w:t>3.29×</w:t>
            </w:r>
          </w:p>
        </w:tc>
        <w:tc>
          <w:tcPr>
            <w:tcW w:type="dxa" w:w="3061"/>
          </w:tcPr>
          <w:p>
            <w:pPr>
              <w:spacing w:after="40" w:before="40"/>
              <w:jc w:val="left"/>
            </w:pPr>
            <w:r>
              <w:rPr>
                <w:rFonts w:ascii="Times New Roman" w:hAnsi="Times New Roman" w:eastAsia="宋体"/>
                <w:sz w:val="18"/>
              </w:rPr>
              <w:t>1.25×</w:t>
            </w:r>
          </w:p>
        </w:tc>
      </w:tr>
    </w:tbl>
    <w:p>
      <w:pPr>
        <w:spacing w:after="80"/>
      </w:pPr>
    </w:p>
    <w:p>
      <w:pPr>
        <w:spacing w:after="120" w:line="324" w:lineRule="auto"/>
      </w:pPr>
      <w:r>
        <w:rPr>
          <w:rFonts w:ascii="Times New Roman" w:hAnsi="Times New Roman" w:eastAsia="宋体"/>
          <w:sz w:val="21"/>
        </w:rPr>
        <w:t>原文补充："At 64K, stable throughput was approximately 313–418 tok/s, averaging about 335 tok/s. Per request, this is approximately 33.5 tok/s"（此段指 SGLang）。</w:t>
      </w:r>
    </w:p>
    <w:p>
      <w:pPr>
        <w:spacing w:after="120" w:line="324" w:lineRule="auto"/>
      </w:pPr>
      <w:r>
        <w:rPr>
          <w:rFonts w:ascii="Times New Roman" w:hAnsi="Times New Roman" w:eastAsia="宋体"/>
          <w:b/>
          <w:sz w:val="21"/>
        </w:rPr>
        <w:t>关键性</w:t>
      </w:r>
      <w:r>
        <w:rPr>
          <w:rFonts w:ascii="Times New Roman" w:hAnsi="Times New Roman" w:eastAsia="宋体"/>
          <w:sz w:val="21"/>
        </w:rPr>
        <w:t>：这是全报告最重要的一组数据。它证明</w:t>
      </w:r>
      <w:r>
        <w:rPr>
          <w:rFonts w:ascii="Times New Roman" w:hAnsi="Times New Roman" w:eastAsia="宋体"/>
          <w:b/>
          <w:sz w:val="21"/>
        </w:rPr>
        <w:t>吞吐随上下文长度急剧衰减</w:t>
      </w:r>
      <w:r>
        <w:rPr>
          <w:rFonts w:ascii="Times New Roman" w:hAnsi="Times New Roman" w:eastAsia="宋体"/>
          <w:sz w:val="21"/>
        </w:rPr>
        <w:t>——从短上下文的 1,759 tok/s 降到 64K 的 501 tok/s（降 3.5 倍），再降到 200K 的 163–268 tok/s。任何用峰值吞吐乘以时间来估算收入的做法都会系统性高估数倍。</w:t>
      </w:r>
    </w:p>
    <w:p>
      <w:pPr>
        <w:spacing w:after="120" w:line="324" w:lineRule="auto"/>
      </w:pPr>
      <w:r>
        <w:rPr>
          <w:rFonts w:ascii="Times New Roman" w:hAnsi="Times New Roman" w:eastAsia="宋体"/>
          <w:sz w:val="21"/>
        </w:rPr>
        <w:t>注：随机数据集会使投机解码的接受率崩溃（原文："Speculative decoding is generally ineffective on random data"），真实业务数据下长上下文吞吐可能优于此处实测。本报告按实测取值，属</w:t>
      </w:r>
      <w:r>
        <w:rPr>
          <w:rFonts w:ascii="Times New Roman" w:hAnsi="Times New Roman" w:eastAsia="宋体"/>
          <w:b/>
          <w:sz w:val="21"/>
        </w:rPr>
        <w:t>保守</w:t>
      </w:r>
      <w:r>
        <w:rPr>
          <w:rFonts w:ascii="Times New Roman" w:hAnsi="Times New Roman" w:eastAsia="宋体"/>
          <w:sz w:val="21"/>
        </w:rPr>
        <w:t>处理。</w:t>
      </w:r>
    </w:p>
    <w:p>
      <w:pPr>
        <w:pStyle w:val="Heading2"/>
        <w:keepNext/>
        <w:spacing w:before="320" w:after="120"/>
      </w:pPr>
      <w:r>
        <w:rPr>
          <w:rFonts w:ascii="Segoe UI" w:hAnsi="Segoe UI" w:eastAsia="微软雅黑"/>
          <w:b/>
          <w:color w:val="1F3B63"/>
          <w:sz w:val="30"/>
        </w:rPr>
        <w:t>S-08 K3 官方与市场售价</w:t>
      </w:r>
    </w:p>
    <w:p>
      <w:pPr>
        <w:spacing w:after="120" w:line="324" w:lineRule="auto"/>
      </w:pPr>
      <w:r>
        <w:rPr>
          <w:rFonts w:ascii="Times New Roman" w:hAnsi="Times New Roman" w:eastAsia="宋体"/>
          <w:sz w:val="21"/>
        </w:rPr>
        <w:t>来源（官方）：Moonshot AI 定价，经多方交叉验证</w:t>
      </w:r>
    </w:p>
    <w:p>
      <w:pPr>
        <w:pStyle w:val="ListBullet"/>
        <w:spacing w:after="60" w:line="312" w:lineRule="auto"/>
        <w:ind w:left="425"/>
      </w:pPr>
      <w:r>
        <w:rPr>
          <w:rFonts w:ascii="Times New Roman" w:hAnsi="Times New Roman" w:eastAsia="宋体"/>
          <w:sz w:val="21"/>
        </w:rPr>
        <w:t>Puter 教程 &lt;https://developer.puter.com/tutorials/kimi-api-pricing/&gt;：K3 输入 $3.00/M、输出 $15.00/M</w:t>
      </w:r>
    </w:p>
    <w:p>
      <w:pPr>
        <w:pStyle w:val="ListBullet"/>
        <w:spacing w:after="60" w:line="312" w:lineRule="auto"/>
        <w:ind w:left="425"/>
      </w:pPr>
      <w:r>
        <w:rPr>
          <w:rFonts w:ascii="Times New Roman" w:hAnsi="Times New Roman" w:eastAsia="宋体"/>
          <w:sz w:val="21"/>
        </w:rPr>
        <w:t>Morph &lt;https://www.morphllm.com/kimi-api&gt;："</w:t>
      </w:r>
      <w:r>
        <w:rPr>
          <w:rFonts w:ascii="Consolas" w:hAnsi="Consolas" w:eastAsia="Consolas"/>
          <w:sz w:val="20"/>
        </w:rPr>
        <w:t>kimi-k3</w:t>
      </w:r>
      <w:r>
        <w:rPr>
          <w:rFonts w:ascii="Times New Roman" w:hAnsi="Times New Roman" w:eastAsia="宋体"/>
          <w:sz w:val="21"/>
        </w:rPr>
        <w:t>: $3/M input, $0.30/M cached, $15/M output, flat context"</w:t>
      </w:r>
    </w:p>
    <w:p>
      <w:pPr>
        <w:pStyle w:val="ListBullet"/>
        <w:spacing w:after="60" w:line="312" w:lineRule="auto"/>
        <w:ind w:left="425"/>
      </w:pPr>
      <w:r>
        <w:rPr>
          <w:rFonts w:ascii="Times New Roman" w:hAnsi="Times New Roman" w:eastAsia="宋体"/>
          <w:sz w:val="21"/>
        </w:rPr>
        <w:t>Wan27 &lt;https://wan27.org/blog/kimi-k3-cost-pricing&gt;：缓存命中输入 $0.30、未命中输入 $3.00、输出 $15.00</w:t>
      </w:r>
    </w:p>
    <w:p>
      <w:pPr>
        <w:spacing w:after="120" w:line="324" w:lineRule="auto"/>
      </w:pPr>
      <w:r>
        <w:rPr>
          <w:rFonts w:ascii="Times New Roman" w:hAnsi="Times New Roman" w:eastAsia="宋体"/>
          <w:sz w:val="21"/>
        </w:rPr>
        <w:t>来源（市场）：OpenRouter 模型页 &lt;https://openrouter.ai/moonshotai/kimi-k3&gt;，快照含 11 家 provider：</w:t>
      </w:r>
    </w:p>
    <w:tbl>
      <w:tblPr>
        <w:tblStyle w:val="TableGrid"/>
        <w:tblW w:type="auto" w:w="0"/>
        <w:jc w:val="center"/>
        <w:tblLayout w:type="autofit"/>
        <w:tblLook w:firstColumn="1" w:firstRow="1" w:lastColumn="0" w:lastRow="0" w:noHBand="0" w:noVBand="1" w:val="04A0"/>
      </w:tblPr>
      <w:tblGrid>
        <w:gridCol w:w="1531"/>
        <w:gridCol w:w="1531"/>
        <w:gridCol w:w="1531"/>
        <w:gridCol w:w="1531"/>
        <w:gridCol w:w="1531"/>
        <w:gridCol w:w="1531"/>
      </w:tblGrid>
      <w:tr>
        <w:tc>
          <w:tcPr>
            <w:tcW w:type="dxa" w:w="1531"/>
            <w:shd w:val="clear" w:color="auto" w:fill="1F3B63"/>
          </w:tcPr>
          <w:p>
            <w:pPr>
              <w:spacing w:after="40" w:before="40"/>
              <w:jc w:val="center"/>
            </w:pPr>
            <w:r>
              <w:rPr>
                <w:rFonts w:ascii="Segoe UI" w:hAnsi="Segoe UI" w:eastAsia="微软雅黑"/>
                <w:b/>
                <w:color w:val="FFFFFF"/>
                <w:sz w:val="18"/>
              </w:rPr>
              <w:t>Provider</w:t>
            </w:r>
          </w:p>
        </w:tc>
        <w:tc>
          <w:tcPr>
            <w:tcW w:type="dxa" w:w="1531"/>
            <w:shd w:val="clear" w:color="auto" w:fill="1F3B63"/>
          </w:tcPr>
          <w:p>
            <w:pPr>
              <w:spacing w:after="40" w:before="40"/>
              <w:jc w:val="center"/>
            </w:pPr>
            <w:r>
              <w:rPr>
                <w:rFonts w:ascii="Segoe UI" w:hAnsi="Segoe UI" w:eastAsia="微软雅黑"/>
                <w:b/>
                <w:color w:val="FFFFFF"/>
                <w:sz w:val="18"/>
              </w:rPr>
              <w:t>输入 $/M</w:t>
            </w:r>
          </w:p>
        </w:tc>
        <w:tc>
          <w:tcPr>
            <w:tcW w:type="dxa" w:w="1531"/>
            <w:shd w:val="clear" w:color="auto" w:fill="1F3B63"/>
          </w:tcPr>
          <w:p>
            <w:pPr>
              <w:spacing w:after="40" w:before="40"/>
              <w:jc w:val="center"/>
            </w:pPr>
            <w:r>
              <w:rPr>
                <w:rFonts w:ascii="Segoe UI" w:hAnsi="Segoe UI" w:eastAsia="微软雅黑"/>
                <w:b/>
                <w:color w:val="FFFFFF"/>
                <w:sz w:val="18"/>
              </w:rPr>
              <w:t>输出 $/M</w:t>
            </w:r>
          </w:p>
        </w:tc>
        <w:tc>
          <w:tcPr>
            <w:tcW w:type="dxa" w:w="1531"/>
            <w:shd w:val="clear" w:color="auto" w:fill="1F3B63"/>
          </w:tcPr>
          <w:p>
            <w:pPr>
              <w:spacing w:after="40" w:before="40"/>
              <w:jc w:val="center"/>
            </w:pPr>
            <w:r>
              <w:rPr>
                <w:rFonts w:ascii="Segoe UI" w:hAnsi="Segoe UI" w:eastAsia="微软雅黑"/>
                <w:b/>
                <w:color w:val="FFFFFF"/>
                <w:sz w:val="18"/>
              </w:rPr>
              <w:t>缓存读 $/M</w:t>
            </w:r>
          </w:p>
        </w:tc>
        <w:tc>
          <w:tcPr>
            <w:tcW w:type="dxa" w:w="1531"/>
            <w:shd w:val="clear" w:color="auto" w:fill="1F3B63"/>
          </w:tcPr>
          <w:p>
            <w:pPr>
              <w:spacing w:after="40" w:before="40"/>
              <w:jc w:val="center"/>
            </w:pPr>
            <w:r>
              <w:rPr>
                <w:rFonts w:ascii="Segoe UI" w:hAnsi="Segoe UI" w:eastAsia="微软雅黑"/>
                <w:b/>
                <w:color w:val="FFFFFF"/>
                <w:sz w:val="18"/>
              </w:rPr>
              <w:t>吞吐 tps</w:t>
            </w:r>
          </w:p>
        </w:tc>
        <w:tc>
          <w:tcPr>
            <w:tcW w:type="dxa" w:w="1531"/>
            <w:shd w:val="clear" w:color="auto" w:fill="1F3B63"/>
          </w:tcPr>
          <w:p>
            <w:pPr>
              <w:spacing w:after="40" w:before="40"/>
              <w:jc w:val="center"/>
            </w:pPr>
            <w:r>
              <w:rPr>
                <w:rFonts w:ascii="Segoe UI" w:hAnsi="Segoe UI" w:eastAsia="微软雅黑"/>
                <w:b/>
                <w:color w:val="FFFFFF"/>
                <w:sz w:val="18"/>
              </w:rPr>
              <w:t>可用率</w:t>
            </w:r>
          </w:p>
        </w:tc>
      </w:tr>
      <w:tr>
        <w:tc>
          <w:tcPr>
            <w:tcW w:type="dxa" w:w="1531"/>
          </w:tcPr>
          <w:p>
            <w:pPr>
              <w:spacing w:after="40" w:before="40"/>
              <w:jc w:val="left"/>
            </w:pPr>
            <w:r>
              <w:rPr>
                <w:rFonts w:ascii="Times New Roman" w:hAnsi="Times New Roman" w:eastAsia="宋体"/>
                <w:sz w:val="18"/>
              </w:rPr>
              <w:t>Morph</w:t>
            </w:r>
          </w:p>
        </w:tc>
        <w:tc>
          <w:tcPr>
            <w:tcW w:type="dxa" w:w="1531"/>
          </w:tcPr>
          <w:p>
            <w:pPr>
              <w:spacing w:after="40" w:before="40"/>
              <w:jc w:val="left"/>
            </w:pPr>
            <w:r>
              <w:rPr>
                <w:rFonts w:ascii="Times New Roman" w:hAnsi="Times New Roman" w:eastAsia="宋体"/>
                <w:sz w:val="18"/>
              </w:rPr>
              <w:t>2.90</w:t>
            </w:r>
          </w:p>
        </w:tc>
        <w:tc>
          <w:tcPr>
            <w:tcW w:type="dxa" w:w="1531"/>
          </w:tcPr>
          <w:p>
            <w:pPr>
              <w:spacing w:after="40" w:before="40"/>
              <w:jc w:val="left"/>
            </w:pPr>
            <w:r>
              <w:rPr>
                <w:rFonts w:ascii="Times New Roman" w:hAnsi="Times New Roman" w:eastAsia="宋体"/>
                <w:sz w:val="18"/>
              </w:rPr>
              <w:t>14.00</w:t>
            </w:r>
          </w:p>
        </w:tc>
        <w:tc>
          <w:tcPr>
            <w:tcW w:type="dxa" w:w="1531"/>
          </w:tcPr>
          <w:p>
            <w:pPr>
              <w:spacing w:after="40" w:before="40"/>
              <w:jc w:val="left"/>
            </w:pPr>
            <w:r>
              <w:rPr>
                <w:rFonts w:ascii="Times New Roman" w:hAnsi="Times New Roman" w:eastAsia="宋体"/>
                <w:sz w:val="18"/>
              </w:rPr>
              <w:t>0.29</w:t>
            </w:r>
          </w:p>
        </w:tc>
        <w:tc>
          <w:tcPr>
            <w:tcW w:type="dxa" w:w="1531"/>
          </w:tcPr>
          <w:p>
            <w:pPr>
              <w:spacing w:after="40" w:before="40"/>
              <w:jc w:val="left"/>
            </w:pPr>
            <w:r>
              <w:rPr>
                <w:rFonts w:ascii="Times New Roman" w:hAnsi="Times New Roman" w:eastAsia="宋体"/>
                <w:sz w:val="18"/>
              </w:rPr>
              <w:t>42</w:t>
            </w:r>
          </w:p>
        </w:tc>
        <w:tc>
          <w:tcPr>
            <w:tcW w:type="dxa" w:w="1531"/>
          </w:tcPr>
          <w:p>
            <w:pPr>
              <w:spacing w:after="40" w:before="40"/>
              <w:jc w:val="left"/>
            </w:pPr>
            <w:r>
              <w:rPr>
                <w:rFonts w:ascii="Times New Roman" w:hAnsi="Times New Roman" w:eastAsia="宋体"/>
                <w:sz w:val="18"/>
              </w:rPr>
              <w:t>98.77%</w:t>
            </w:r>
          </w:p>
        </w:tc>
      </w:tr>
      <w:tr>
        <w:tc>
          <w:tcPr>
            <w:tcW w:type="dxa" w:w="1531"/>
            <w:shd w:val="clear" w:color="auto" w:fill="F7F8FA"/>
          </w:tcPr>
          <w:p>
            <w:pPr>
              <w:spacing w:after="40" w:before="40"/>
              <w:jc w:val="left"/>
            </w:pPr>
            <w:r>
              <w:rPr>
                <w:rFonts w:ascii="Times New Roman" w:hAnsi="Times New Roman" w:eastAsia="宋体"/>
                <w:sz w:val="18"/>
              </w:rPr>
              <w:t>Modal</w:t>
            </w:r>
          </w:p>
        </w:tc>
        <w:tc>
          <w:tcPr>
            <w:tcW w:type="dxa" w:w="1531"/>
            <w:shd w:val="clear" w:color="auto" w:fill="F7F8FA"/>
          </w:tcPr>
          <w:p>
            <w:pPr>
              <w:spacing w:after="40" w:before="40"/>
              <w:jc w:val="left"/>
            </w:pPr>
            <w:r>
              <w:rPr>
                <w:rFonts w:ascii="Times New Roman" w:hAnsi="Times New Roman" w:eastAsia="宋体"/>
                <w:sz w:val="18"/>
              </w:rPr>
              <w:t>3.00</w:t>
            </w:r>
          </w:p>
        </w:tc>
        <w:tc>
          <w:tcPr>
            <w:tcW w:type="dxa" w:w="1531"/>
            <w:shd w:val="clear" w:color="auto" w:fill="F7F8FA"/>
          </w:tcPr>
          <w:p>
            <w:pPr>
              <w:spacing w:after="40" w:before="40"/>
              <w:jc w:val="left"/>
            </w:pPr>
            <w:r>
              <w:rPr>
                <w:rFonts w:ascii="Times New Roman" w:hAnsi="Times New Roman" w:eastAsia="宋体"/>
                <w:sz w:val="18"/>
              </w:rPr>
              <w:t>15.00</w:t>
            </w:r>
          </w:p>
        </w:tc>
        <w:tc>
          <w:tcPr>
            <w:tcW w:type="dxa" w:w="1531"/>
            <w:shd w:val="clear" w:color="auto" w:fill="F7F8FA"/>
          </w:tcPr>
          <w:p>
            <w:pPr>
              <w:spacing w:after="40" w:before="40"/>
              <w:jc w:val="left"/>
            </w:pPr>
            <w:r>
              <w:rPr>
                <w:rFonts w:ascii="Times New Roman" w:hAnsi="Times New Roman" w:eastAsia="宋体"/>
                <w:sz w:val="18"/>
              </w:rPr>
              <w:t>0.30</w:t>
            </w:r>
          </w:p>
        </w:tc>
        <w:tc>
          <w:tcPr>
            <w:tcW w:type="dxa" w:w="1531"/>
            <w:shd w:val="clear" w:color="auto" w:fill="F7F8FA"/>
          </w:tcPr>
          <w:p>
            <w:pPr>
              <w:spacing w:after="40" w:before="40"/>
              <w:jc w:val="left"/>
            </w:pPr>
            <w:r>
              <w:rPr>
                <w:rFonts w:ascii="Times New Roman" w:hAnsi="Times New Roman" w:eastAsia="宋体"/>
                <w:sz w:val="18"/>
              </w:rPr>
              <w:t>45</w:t>
            </w:r>
          </w:p>
        </w:tc>
        <w:tc>
          <w:tcPr>
            <w:tcW w:type="dxa" w:w="1531"/>
            <w:shd w:val="clear" w:color="auto" w:fill="F7F8FA"/>
          </w:tcPr>
          <w:p>
            <w:pPr>
              <w:spacing w:after="40" w:before="40"/>
              <w:jc w:val="left"/>
            </w:pPr>
            <w:r>
              <w:rPr>
                <w:rFonts w:ascii="Times New Roman" w:hAnsi="Times New Roman" w:eastAsia="宋体"/>
                <w:sz w:val="18"/>
              </w:rPr>
              <w:t>98.19%</w:t>
            </w:r>
          </w:p>
        </w:tc>
      </w:tr>
      <w:tr>
        <w:tc>
          <w:tcPr>
            <w:tcW w:type="dxa" w:w="1531"/>
          </w:tcPr>
          <w:p>
            <w:pPr>
              <w:spacing w:after="40" w:before="40"/>
              <w:jc w:val="left"/>
            </w:pPr>
            <w:r>
              <w:rPr>
                <w:rFonts w:ascii="Times New Roman" w:hAnsi="Times New Roman" w:eastAsia="宋体"/>
                <w:sz w:val="18"/>
              </w:rPr>
              <w:t>Baseten</w:t>
            </w:r>
          </w:p>
        </w:tc>
        <w:tc>
          <w:tcPr>
            <w:tcW w:type="dxa" w:w="1531"/>
          </w:tcPr>
          <w:p>
            <w:pPr>
              <w:spacing w:after="40" w:before="40"/>
              <w:jc w:val="left"/>
            </w:pPr>
            <w:r>
              <w:rPr>
                <w:rFonts w:ascii="Times New Roman" w:hAnsi="Times New Roman" w:eastAsia="宋体"/>
                <w:sz w:val="18"/>
              </w:rPr>
              <w:t>3.00</w:t>
            </w:r>
          </w:p>
        </w:tc>
        <w:tc>
          <w:tcPr>
            <w:tcW w:type="dxa" w:w="1531"/>
          </w:tcPr>
          <w:p>
            <w:pPr>
              <w:spacing w:after="40" w:before="40"/>
              <w:jc w:val="left"/>
            </w:pPr>
            <w:r>
              <w:rPr>
                <w:rFonts w:ascii="Times New Roman" w:hAnsi="Times New Roman" w:eastAsia="宋体"/>
                <w:sz w:val="18"/>
              </w:rPr>
              <w:t>15.00</w:t>
            </w:r>
          </w:p>
        </w:tc>
        <w:tc>
          <w:tcPr>
            <w:tcW w:type="dxa" w:w="1531"/>
          </w:tcPr>
          <w:p>
            <w:pPr>
              <w:spacing w:after="40" w:before="40"/>
              <w:jc w:val="left"/>
            </w:pPr>
            <w:r>
              <w:rPr>
                <w:rFonts w:ascii="Times New Roman" w:hAnsi="Times New Roman" w:eastAsia="宋体"/>
                <w:sz w:val="18"/>
              </w:rPr>
              <w:t>0.30</w:t>
            </w:r>
          </w:p>
        </w:tc>
        <w:tc>
          <w:tcPr>
            <w:tcW w:type="dxa" w:w="1531"/>
          </w:tcPr>
          <w:p>
            <w:pPr>
              <w:spacing w:after="40" w:before="40"/>
              <w:jc w:val="left"/>
            </w:pPr>
            <w:r>
              <w:rPr>
                <w:rFonts w:ascii="Times New Roman" w:hAnsi="Times New Roman" w:eastAsia="宋体"/>
                <w:sz w:val="18"/>
              </w:rPr>
              <w:t>48</w:t>
            </w:r>
          </w:p>
        </w:tc>
        <w:tc>
          <w:tcPr>
            <w:tcW w:type="dxa" w:w="1531"/>
          </w:tcPr>
          <w:p>
            <w:pPr>
              <w:spacing w:after="40" w:before="40"/>
              <w:jc w:val="left"/>
            </w:pPr>
            <w:r>
              <w:rPr>
                <w:rFonts w:ascii="Times New Roman" w:hAnsi="Times New Roman" w:eastAsia="宋体"/>
                <w:sz w:val="18"/>
              </w:rPr>
              <w:t>98.48%</w:t>
            </w:r>
          </w:p>
        </w:tc>
      </w:tr>
      <w:tr>
        <w:tc>
          <w:tcPr>
            <w:tcW w:type="dxa" w:w="1531"/>
            <w:shd w:val="clear" w:color="auto" w:fill="F7F8FA"/>
          </w:tcPr>
          <w:p>
            <w:pPr>
              <w:spacing w:after="40" w:before="40"/>
              <w:jc w:val="left"/>
            </w:pPr>
            <w:r>
              <w:rPr>
                <w:rFonts w:ascii="Times New Roman" w:hAnsi="Times New Roman" w:eastAsia="宋体"/>
                <w:sz w:val="18"/>
              </w:rPr>
              <w:t>Fireworks</w:t>
            </w:r>
          </w:p>
        </w:tc>
        <w:tc>
          <w:tcPr>
            <w:tcW w:type="dxa" w:w="1531"/>
            <w:shd w:val="clear" w:color="auto" w:fill="F7F8FA"/>
          </w:tcPr>
          <w:p>
            <w:pPr>
              <w:spacing w:after="40" w:before="40"/>
              <w:jc w:val="left"/>
            </w:pPr>
            <w:r>
              <w:rPr>
                <w:rFonts w:ascii="Times New Roman" w:hAnsi="Times New Roman" w:eastAsia="宋体"/>
                <w:sz w:val="18"/>
              </w:rPr>
              <w:t>3.00</w:t>
            </w:r>
          </w:p>
        </w:tc>
        <w:tc>
          <w:tcPr>
            <w:tcW w:type="dxa" w:w="1531"/>
            <w:shd w:val="clear" w:color="auto" w:fill="F7F8FA"/>
          </w:tcPr>
          <w:p>
            <w:pPr>
              <w:spacing w:after="40" w:before="40"/>
              <w:jc w:val="left"/>
            </w:pPr>
            <w:r>
              <w:rPr>
                <w:rFonts w:ascii="Times New Roman" w:hAnsi="Times New Roman" w:eastAsia="宋体"/>
                <w:sz w:val="18"/>
              </w:rPr>
              <w:t>15.00</w:t>
            </w:r>
          </w:p>
        </w:tc>
        <w:tc>
          <w:tcPr>
            <w:tcW w:type="dxa" w:w="1531"/>
            <w:shd w:val="clear" w:color="auto" w:fill="F7F8FA"/>
          </w:tcPr>
          <w:p>
            <w:pPr>
              <w:spacing w:after="40" w:before="40"/>
              <w:jc w:val="left"/>
            </w:pPr>
            <w:r>
              <w:rPr>
                <w:rFonts w:ascii="Times New Roman" w:hAnsi="Times New Roman" w:eastAsia="宋体"/>
                <w:sz w:val="18"/>
              </w:rPr>
              <w:t>0.30</w:t>
            </w:r>
          </w:p>
        </w:tc>
        <w:tc>
          <w:tcPr>
            <w:tcW w:type="dxa" w:w="1531"/>
            <w:shd w:val="clear" w:color="auto" w:fill="F7F8FA"/>
          </w:tcPr>
          <w:p>
            <w:pPr>
              <w:spacing w:after="40" w:before="40"/>
              <w:jc w:val="left"/>
            </w:pPr>
            <w:r>
              <w:rPr>
                <w:rFonts w:ascii="Times New Roman" w:hAnsi="Times New Roman" w:eastAsia="宋体"/>
                <w:sz w:val="18"/>
              </w:rPr>
              <w:t>26</w:t>
            </w:r>
          </w:p>
        </w:tc>
        <w:tc>
          <w:tcPr>
            <w:tcW w:type="dxa" w:w="1531"/>
            <w:shd w:val="clear" w:color="auto" w:fill="F7F8FA"/>
          </w:tcPr>
          <w:p>
            <w:pPr>
              <w:spacing w:after="40" w:before="40"/>
              <w:jc w:val="left"/>
            </w:pPr>
            <w:r>
              <w:rPr>
                <w:rFonts w:ascii="Times New Roman" w:hAnsi="Times New Roman" w:eastAsia="宋体"/>
                <w:sz w:val="18"/>
              </w:rPr>
              <w:t>96.85%</w:t>
            </w:r>
          </w:p>
        </w:tc>
      </w:tr>
      <w:tr>
        <w:tc>
          <w:tcPr>
            <w:tcW w:type="dxa" w:w="1531"/>
          </w:tcPr>
          <w:p>
            <w:pPr>
              <w:spacing w:after="40" w:before="40"/>
              <w:jc w:val="left"/>
            </w:pPr>
            <w:r>
              <w:rPr>
                <w:rFonts w:ascii="Times New Roman" w:hAnsi="Times New Roman" w:eastAsia="宋体"/>
                <w:sz w:val="18"/>
              </w:rPr>
              <w:t>Chutes</w:t>
            </w:r>
          </w:p>
        </w:tc>
        <w:tc>
          <w:tcPr>
            <w:tcW w:type="dxa" w:w="1531"/>
          </w:tcPr>
          <w:p>
            <w:pPr>
              <w:spacing w:after="40" w:before="40"/>
              <w:jc w:val="left"/>
            </w:pPr>
            <w:r>
              <w:rPr>
                <w:rFonts w:ascii="Times New Roman" w:hAnsi="Times New Roman" w:eastAsia="宋体"/>
                <w:sz w:val="18"/>
              </w:rPr>
              <w:t>3.00</w:t>
            </w:r>
          </w:p>
        </w:tc>
        <w:tc>
          <w:tcPr>
            <w:tcW w:type="dxa" w:w="1531"/>
          </w:tcPr>
          <w:p>
            <w:pPr>
              <w:spacing w:after="40" w:before="40"/>
              <w:jc w:val="left"/>
            </w:pPr>
            <w:r>
              <w:rPr>
                <w:rFonts w:ascii="Times New Roman" w:hAnsi="Times New Roman" w:eastAsia="宋体"/>
                <w:sz w:val="18"/>
              </w:rPr>
              <w:t>15.00</w:t>
            </w:r>
          </w:p>
        </w:tc>
        <w:tc>
          <w:tcPr>
            <w:tcW w:type="dxa" w:w="1531"/>
          </w:tcPr>
          <w:p>
            <w:pPr>
              <w:spacing w:after="40" w:before="40"/>
              <w:jc w:val="left"/>
            </w:pPr>
            <w:r>
              <w:rPr>
                <w:rFonts w:ascii="Times New Roman" w:hAnsi="Times New Roman" w:eastAsia="宋体"/>
                <w:sz w:val="18"/>
              </w:rPr>
              <w:t>0.30</w:t>
            </w:r>
          </w:p>
        </w:tc>
        <w:tc>
          <w:tcPr>
            <w:tcW w:type="dxa" w:w="1531"/>
          </w:tcPr>
          <w:p>
            <w:pPr>
              <w:spacing w:after="40" w:before="40"/>
              <w:jc w:val="left"/>
            </w:pPr>
            <w:r>
              <w:rPr>
                <w:rFonts w:ascii="Times New Roman" w:hAnsi="Times New Roman" w:eastAsia="宋体"/>
                <w:sz w:val="18"/>
              </w:rPr>
              <w:t>22</w:t>
            </w:r>
          </w:p>
        </w:tc>
        <w:tc>
          <w:tcPr>
            <w:tcW w:type="dxa" w:w="1531"/>
          </w:tcPr>
          <w:p>
            <w:pPr>
              <w:spacing w:after="40" w:before="40"/>
              <w:jc w:val="left"/>
            </w:pPr>
            <w:r>
              <w:rPr>
                <w:rFonts w:ascii="Times New Roman" w:hAnsi="Times New Roman" w:eastAsia="宋体"/>
                <w:sz w:val="18"/>
              </w:rPr>
              <w:t>89.06%</w:t>
            </w:r>
          </w:p>
        </w:tc>
      </w:tr>
      <w:tr>
        <w:tc>
          <w:tcPr>
            <w:tcW w:type="dxa" w:w="1531"/>
            <w:shd w:val="clear" w:color="auto" w:fill="F7F8FA"/>
          </w:tcPr>
          <w:p>
            <w:pPr>
              <w:spacing w:after="40" w:before="40"/>
              <w:jc w:val="left"/>
            </w:pPr>
            <w:r>
              <w:rPr>
                <w:rFonts w:ascii="Times New Roman" w:hAnsi="Times New Roman" w:eastAsia="宋体"/>
                <w:sz w:val="18"/>
              </w:rPr>
              <w:t>Moonshot AI</w:t>
            </w:r>
          </w:p>
        </w:tc>
        <w:tc>
          <w:tcPr>
            <w:tcW w:type="dxa" w:w="1531"/>
            <w:shd w:val="clear" w:color="auto" w:fill="F7F8FA"/>
          </w:tcPr>
          <w:p>
            <w:pPr>
              <w:spacing w:after="40" w:before="40"/>
              <w:jc w:val="left"/>
            </w:pPr>
            <w:r>
              <w:rPr>
                <w:rFonts w:ascii="Times New Roman" w:hAnsi="Times New Roman" w:eastAsia="宋体"/>
                <w:sz w:val="18"/>
              </w:rPr>
              <w:t>3.00</w:t>
            </w:r>
          </w:p>
        </w:tc>
        <w:tc>
          <w:tcPr>
            <w:tcW w:type="dxa" w:w="1531"/>
            <w:shd w:val="clear" w:color="auto" w:fill="F7F8FA"/>
          </w:tcPr>
          <w:p>
            <w:pPr>
              <w:spacing w:after="40" w:before="40"/>
              <w:jc w:val="left"/>
            </w:pPr>
            <w:r>
              <w:rPr>
                <w:rFonts w:ascii="Times New Roman" w:hAnsi="Times New Roman" w:eastAsia="宋体"/>
                <w:sz w:val="18"/>
              </w:rPr>
              <w:t>15.00</w:t>
            </w:r>
          </w:p>
        </w:tc>
        <w:tc>
          <w:tcPr>
            <w:tcW w:type="dxa" w:w="1531"/>
            <w:shd w:val="clear" w:color="auto" w:fill="F7F8FA"/>
          </w:tcPr>
          <w:p>
            <w:pPr>
              <w:spacing w:after="40" w:before="40"/>
              <w:jc w:val="left"/>
            </w:pPr>
            <w:r>
              <w:rPr>
                <w:rFonts w:ascii="Times New Roman" w:hAnsi="Times New Roman" w:eastAsia="宋体"/>
                <w:sz w:val="18"/>
              </w:rPr>
              <w:t>0.30</w:t>
            </w:r>
          </w:p>
        </w:tc>
        <w:tc>
          <w:tcPr>
            <w:tcW w:type="dxa" w:w="1531"/>
            <w:shd w:val="clear" w:color="auto" w:fill="F7F8FA"/>
          </w:tcPr>
          <w:p>
            <w:pPr>
              <w:spacing w:after="40" w:before="40"/>
              <w:jc w:val="left"/>
            </w:pPr>
            <w:r>
              <w:rPr>
                <w:rFonts w:ascii="Times New Roman" w:hAnsi="Times New Roman" w:eastAsia="宋体"/>
                <w:sz w:val="18"/>
              </w:rPr>
              <w:t>22</w:t>
            </w:r>
          </w:p>
        </w:tc>
        <w:tc>
          <w:tcPr>
            <w:tcW w:type="dxa" w:w="1531"/>
            <w:shd w:val="clear" w:color="auto" w:fill="F7F8FA"/>
          </w:tcPr>
          <w:p>
            <w:pPr>
              <w:spacing w:after="40" w:before="40"/>
              <w:jc w:val="left"/>
            </w:pPr>
            <w:r>
              <w:rPr>
                <w:rFonts w:ascii="Times New Roman" w:hAnsi="Times New Roman" w:eastAsia="宋体"/>
                <w:sz w:val="18"/>
              </w:rPr>
              <w:t>99.54%</w:t>
            </w:r>
          </w:p>
        </w:tc>
      </w:tr>
      <w:tr>
        <w:tc>
          <w:tcPr>
            <w:tcW w:type="dxa" w:w="1531"/>
          </w:tcPr>
          <w:p>
            <w:pPr>
              <w:spacing w:after="40" w:before="40"/>
              <w:jc w:val="left"/>
            </w:pPr>
            <w:r>
              <w:rPr>
                <w:rFonts w:ascii="Times New Roman" w:hAnsi="Times New Roman" w:eastAsia="宋体"/>
                <w:sz w:val="18"/>
              </w:rPr>
              <w:t>Together</w:t>
            </w:r>
          </w:p>
        </w:tc>
        <w:tc>
          <w:tcPr>
            <w:tcW w:type="dxa" w:w="1531"/>
          </w:tcPr>
          <w:p>
            <w:pPr>
              <w:spacing w:after="40" w:before="40"/>
              <w:jc w:val="left"/>
            </w:pPr>
            <w:r>
              <w:rPr>
                <w:rFonts w:ascii="Times New Roman" w:hAnsi="Times New Roman" w:eastAsia="宋体"/>
                <w:sz w:val="18"/>
              </w:rPr>
              <w:t>3.00</w:t>
            </w:r>
          </w:p>
        </w:tc>
        <w:tc>
          <w:tcPr>
            <w:tcW w:type="dxa" w:w="1531"/>
          </w:tcPr>
          <w:p>
            <w:pPr>
              <w:spacing w:after="40" w:before="40"/>
              <w:jc w:val="left"/>
            </w:pPr>
            <w:r>
              <w:rPr>
                <w:rFonts w:ascii="Times New Roman" w:hAnsi="Times New Roman" w:eastAsia="宋体"/>
                <w:sz w:val="18"/>
              </w:rPr>
              <w:t>15.00</w:t>
            </w:r>
          </w:p>
        </w:tc>
        <w:tc>
          <w:tcPr>
            <w:tcW w:type="dxa" w:w="1531"/>
          </w:tcPr>
          <w:p>
            <w:pPr>
              <w:spacing w:after="40" w:before="40"/>
              <w:jc w:val="left"/>
            </w:pPr>
            <w:r>
              <w:rPr>
                <w:rFonts w:ascii="Times New Roman" w:hAnsi="Times New Roman" w:eastAsia="宋体"/>
                <w:sz w:val="18"/>
              </w:rPr>
              <w:t>0.30</w:t>
            </w:r>
          </w:p>
        </w:tc>
        <w:tc>
          <w:tcPr>
            <w:tcW w:type="dxa" w:w="1531"/>
          </w:tcPr>
          <w:p>
            <w:pPr>
              <w:spacing w:after="40" w:before="40"/>
              <w:jc w:val="left"/>
            </w:pPr>
            <w:r>
              <w:rPr>
                <w:rFonts w:ascii="Times New Roman" w:hAnsi="Times New Roman" w:eastAsia="宋体"/>
                <w:sz w:val="18"/>
              </w:rPr>
              <w:t>31</w:t>
            </w:r>
          </w:p>
        </w:tc>
        <w:tc>
          <w:tcPr>
            <w:tcW w:type="dxa" w:w="1531"/>
          </w:tcPr>
          <w:p>
            <w:pPr>
              <w:spacing w:after="40" w:before="40"/>
              <w:jc w:val="left"/>
            </w:pPr>
            <w:r>
              <w:rPr>
                <w:rFonts w:ascii="Times New Roman" w:hAnsi="Times New Roman" w:eastAsia="宋体"/>
                <w:sz w:val="18"/>
              </w:rPr>
              <w:t>97.56%</w:t>
            </w:r>
          </w:p>
        </w:tc>
      </w:tr>
      <w:tr>
        <w:tc>
          <w:tcPr>
            <w:tcW w:type="dxa" w:w="1531"/>
            <w:shd w:val="clear" w:color="auto" w:fill="F7F8FA"/>
          </w:tcPr>
          <w:p>
            <w:pPr>
              <w:spacing w:after="40" w:before="40"/>
              <w:jc w:val="left"/>
            </w:pPr>
            <w:r>
              <w:rPr>
                <w:rFonts w:ascii="Times New Roman" w:hAnsi="Times New Roman" w:eastAsia="宋体"/>
                <w:sz w:val="18"/>
              </w:rPr>
              <w:t>DigitalOcean</w:t>
            </w:r>
          </w:p>
        </w:tc>
        <w:tc>
          <w:tcPr>
            <w:tcW w:type="dxa" w:w="1531"/>
            <w:shd w:val="clear" w:color="auto" w:fill="F7F8FA"/>
          </w:tcPr>
          <w:p>
            <w:pPr>
              <w:spacing w:after="40" w:before="40"/>
              <w:jc w:val="left"/>
            </w:pPr>
            <w:r>
              <w:rPr>
                <w:rFonts w:ascii="Times New Roman" w:hAnsi="Times New Roman" w:eastAsia="宋体"/>
                <w:sz w:val="18"/>
              </w:rPr>
              <w:t>3.00</w:t>
            </w:r>
          </w:p>
        </w:tc>
        <w:tc>
          <w:tcPr>
            <w:tcW w:type="dxa" w:w="1531"/>
            <w:shd w:val="clear" w:color="auto" w:fill="F7F8FA"/>
          </w:tcPr>
          <w:p>
            <w:pPr>
              <w:spacing w:after="40" w:before="40"/>
              <w:jc w:val="left"/>
            </w:pPr>
            <w:r>
              <w:rPr>
                <w:rFonts w:ascii="Times New Roman" w:hAnsi="Times New Roman" w:eastAsia="宋体"/>
                <w:sz w:val="18"/>
              </w:rPr>
              <w:t>15.00</w:t>
            </w:r>
          </w:p>
        </w:tc>
        <w:tc>
          <w:tcPr>
            <w:tcW w:type="dxa" w:w="1531"/>
            <w:shd w:val="clear" w:color="auto" w:fill="F7F8FA"/>
          </w:tcPr>
          <w:p>
            <w:pPr>
              <w:spacing w:after="40" w:before="40"/>
              <w:jc w:val="left"/>
            </w:pPr>
            <w:r>
              <w:rPr>
                <w:rFonts w:ascii="Times New Roman" w:hAnsi="Times New Roman" w:eastAsia="宋体"/>
                <w:sz w:val="18"/>
              </w:rPr>
              <w:t>0.30</w:t>
            </w:r>
          </w:p>
        </w:tc>
        <w:tc>
          <w:tcPr>
            <w:tcW w:type="dxa" w:w="1531"/>
            <w:shd w:val="clear" w:color="auto" w:fill="F7F8FA"/>
          </w:tcPr>
          <w:p>
            <w:pPr>
              <w:spacing w:after="40" w:before="40"/>
              <w:jc w:val="left"/>
            </w:pPr>
            <w:r>
              <w:rPr>
                <w:rFonts w:ascii="Times New Roman" w:hAnsi="Times New Roman" w:eastAsia="宋体"/>
                <w:sz w:val="18"/>
              </w:rPr>
              <w:t>11</w:t>
            </w:r>
          </w:p>
        </w:tc>
        <w:tc>
          <w:tcPr>
            <w:tcW w:type="dxa" w:w="1531"/>
            <w:shd w:val="clear" w:color="auto" w:fill="F7F8FA"/>
          </w:tcPr>
          <w:p>
            <w:pPr>
              <w:spacing w:after="40" w:before="40"/>
              <w:jc w:val="left"/>
            </w:pPr>
            <w:r>
              <w:rPr>
                <w:rFonts w:ascii="Times New Roman" w:hAnsi="Times New Roman" w:eastAsia="宋体"/>
                <w:sz w:val="18"/>
              </w:rPr>
              <w:t>96.07%</w:t>
            </w:r>
          </w:p>
        </w:tc>
      </w:tr>
      <w:tr>
        <w:tc>
          <w:tcPr>
            <w:tcW w:type="dxa" w:w="1531"/>
          </w:tcPr>
          <w:p>
            <w:pPr>
              <w:spacing w:after="40" w:before="40"/>
              <w:jc w:val="left"/>
            </w:pPr>
            <w:r>
              <w:rPr>
                <w:rFonts w:ascii="Times New Roman" w:hAnsi="Times New Roman" w:eastAsia="宋体"/>
                <w:sz w:val="18"/>
              </w:rPr>
              <w:t>Fireworks Fast</w:t>
            </w:r>
          </w:p>
        </w:tc>
        <w:tc>
          <w:tcPr>
            <w:tcW w:type="dxa" w:w="1531"/>
          </w:tcPr>
          <w:p>
            <w:pPr>
              <w:spacing w:after="40" w:before="40"/>
              <w:jc w:val="left"/>
            </w:pPr>
            <w:r>
              <w:rPr>
                <w:rFonts w:ascii="Times New Roman" w:hAnsi="Times New Roman" w:eastAsia="宋体"/>
                <w:sz w:val="18"/>
              </w:rPr>
              <w:t>4.50</w:t>
            </w:r>
          </w:p>
        </w:tc>
        <w:tc>
          <w:tcPr>
            <w:tcW w:type="dxa" w:w="1531"/>
          </w:tcPr>
          <w:p>
            <w:pPr>
              <w:spacing w:after="40" w:before="40"/>
              <w:jc w:val="left"/>
            </w:pPr>
            <w:r>
              <w:rPr>
                <w:rFonts w:ascii="Times New Roman" w:hAnsi="Times New Roman" w:eastAsia="宋体"/>
                <w:sz w:val="18"/>
              </w:rPr>
              <w:t>22.50</w:t>
            </w:r>
          </w:p>
        </w:tc>
        <w:tc>
          <w:tcPr>
            <w:tcW w:type="dxa" w:w="1531"/>
          </w:tcPr>
          <w:p>
            <w:pPr>
              <w:spacing w:after="40" w:before="40"/>
              <w:jc w:val="left"/>
            </w:pPr>
            <w:r>
              <w:rPr>
                <w:rFonts w:ascii="Times New Roman" w:hAnsi="Times New Roman" w:eastAsia="宋体"/>
                <w:sz w:val="18"/>
              </w:rPr>
              <w:t>0.45</w:t>
            </w:r>
          </w:p>
        </w:tc>
        <w:tc>
          <w:tcPr>
            <w:tcW w:type="dxa" w:w="1531"/>
          </w:tcPr>
          <w:p>
            <w:pPr>
              <w:spacing w:after="40" w:before="40"/>
              <w:jc w:val="left"/>
            </w:pPr>
            <w:r>
              <w:rPr>
                <w:rFonts w:ascii="Times New Roman" w:hAnsi="Times New Roman" w:eastAsia="宋体"/>
                <w:sz w:val="18"/>
              </w:rPr>
              <w:t>67</w:t>
            </w:r>
          </w:p>
        </w:tc>
        <w:tc>
          <w:tcPr>
            <w:tcW w:type="dxa" w:w="1531"/>
          </w:tcPr>
          <w:p>
            <w:pPr>
              <w:spacing w:after="40" w:before="40"/>
              <w:jc w:val="left"/>
            </w:pPr>
            <w:r>
              <w:rPr>
                <w:rFonts w:ascii="Times New Roman" w:hAnsi="Times New Roman" w:eastAsia="宋体"/>
                <w:sz w:val="18"/>
              </w:rPr>
              <w:t>98.06%</w:t>
            </w:r>
          </w:p>
        </w:tc>
      </w:tr>
      <w:tr>
        <w:tc>
          <w:tcPr>
            <w:tcW w:type="dxa" w:w="1531"/>
            <w:shd w:val="clear" w:color="auto" w:fill="F7F8FA"/>
          </w:tcPr>
          <w:p>
            <w:pPr>
              <w:spacing w:after="40" w:before="40"/>
              <w:jc w:val="left"/>
            </w:pPr>
            <w:r>
              <w:rPr>
                <w:rFonts w:ascii="Times New Roman" w:hAnsi="Times New Roman" w:eastAsia="宋体"/>
                <w:sz w:val="18"/>
              </w:rPr>
              <w:t>Wafer Fast</w:t>
            </w:r>
          </w:p>
        </w:tc>
        <w:tc>
          <w:tcPr>
            <w:tcW w:type="dxa" w:w="1531"/>
            <w:shd w:val="clear" w:color="auto" w:fill="F7F8FA"/>
          </w:tcPr>
          <w:p>
            <w:pPr>
              <w:spacing w:after="40" w:before="40"/>
              <w:jc w:val="left"/>
            </w:pPr>
            <w:r>
              <w:rPr>
                <w:rFonts w:ascii="Times New Roman" w:hAnsi="Times New Roman" w:eastAsia="宋体"/>
                <w:sz w:val="18"/>
              </w:rPr>
              <w:t>4.50</w:t>
            </w:r>
          </w:p>
        </w:tc>
        <w:tc>
          <w:tcPr>
            <w:tcW w:type="dxa" w:w="1531"/>
            <w:shd w:val="clear" w:color="auto" w:fill="F7F8FA"/>
          </w:tcPr>
          <w:p>
            <w:pPr>
              <w:spacing w:after="40" w:before="40"/>
              <w:jc w:val="left"/>
            </w:pPr>
            <w:r>
              <w:rPr>
                <w:rFonts w:ascii="Times New Roman" w:hAnsi="Times New Roman" w:eastAsia="宋体"/>
                <w:sz w:val="18"/>
              </w:rPr>
              <w:t>22.50</w:t>
            </w:r>
          </w:p>
        </w:tc>
        <w:tc>
          <w:tcPr>
            <w:tcW w:type="dxa" w:w="1531"/>
            <w:shd w:val="clear" w:color="auto" w:fill="F7F8FA"/>
          </w:tcPr>
          <w:p>
            <w:pPr>
              <w:spacing w:after="40" w:before="40"/>
              <w:jc w:val="left"/>
            </w:pPr>
            <w:r>
              <w:rPr>
                <w:rFonts w:ascii="Times New Roman" w:hAnsi="Times New Roman" w:eastAsia="宋体"/>
                <w:sz w:val="18"/>
              </w:rPr>
              <w:t>0.45</w:t>
            </w:r>
          </w:p>
        </w:tc>
        <w:tc>
          <w:tcPr>
            <w:tcW w:type="dxa" w:w="1531"/>
            <w:shd w:val="clear" w:color="auto" w:fill="F7F8FA"/>
          </w:tcPr>
          <w:p>
            <w:pPr>
              <w:spacing w:after="40" w:before="40"/>
              <w:jc w:val="left"/>
            </w:pPr>
            <w:r>
              <w:rPr>
                <w:rFonts w:ascii="Times New Roman" w:hAnsi="Times New Roman" w:eastAsia="宋体"/>
                <w:sz w:val="18"/>
              </w:rPr>
              <w:t>47</w:t>
            </w:r>
          </w:p>
        </w:tc>
        <w:tc>
          <w:tcPr>
            <w:tcW w:type="dxa" w:w="1531"/>
            <w:shd w:val="clear" w:color="auto" w:fill="F7F8FA"/>
          </w:tcPr>
          <w:p>
            <w:pPr>
              <w:spacing w:after="40" w:before="40"/>
              <w:jc w:val="left"/>
            </w:pPr>
            <w:r>
              <w:rPr>
                <w:rFonts w:ascii="Times New Roman" w:hAnsi="Times New Roman" w:eastAsia="宋体"/>
                <w:sz w:val="18"/>
              </w:rPr>
              <w:t>99.19%</w:t>
            </w:r>
          </w:p>
        </w:tc>
      </w:tr>
      <w:tr>
        <w:tc>
          <w:tcPr>
            <w:tcW w:type="dxa" w:w="1531"/>
          </w:tcPr>
          <w:p>
            <w:pPr>
              <w:spacing w:after="40" w:before="40"/>
              <w:jc w:val="left"/>
            </w:pPr>
            <w:r>
              <w:rPr>
                <w:rFonts w:ascii="Times New Roman" w:hAnsi="Times New Roman" w:eastAsia="宋体"/>
                <w:sz w:val="18"/>
              </w:rPr>
              <w:t>Morph Fast</w:t>
            </w:r>
          </w:p>
        </w:tc>
        <w:tc>
          <w:tcPr>
            <w:tcW w:type="dxa" w:w="1531"/>
          </w:tcPr>
          <w:p>
            <w:pPr>
              <w:spacing w:after="40" w:before="40"/>
              <w:jc w:val="left"/>
            </w:pPr>
            <w:r>
              <w:rPr>
                <w:rFonts w:ascii="Times New Roman" w:hAnsi="Times New Roman" w:eastAsia="宋体"/>
                <w:sz w:val="18"/>
              </w:rPr>
              <w:t>6.00</w:t>
            </w:r>
          </w:p>
        </w:tc>
        <w:tc>
          <w:tcPr>
            <w:tcW w:type="dxa" w:w="1531"/>
          </w:tcPr>
          <w:p>
            <w:pPr>
              <w:spacing w:after="40" w:before="40"/>
              <w:jc w:val="left"/>
            </w:pPr>
            <w:r>
              <w:rPr>
                <w:rFonts w:ascii="Times New Roman" w:hAnsi="Times New Roman" w:eastAsia="宋体"/>
                <w:sz w:val="18"/>
              </w:rPr>
              <w:t>22.50</w:t>
            </w:r>
          </w:p>
        </w:tc>
        <w:tc>
          <w:tcPr>
            <w:tcW w:type="dxa" w:w="1531"/>
          </w:tcPr>
          <w:p>
            <w:pPr>
              <w:spacing w:after="40" w:before="40"/>
              <w:jc w:val="left"/>
            </w:pPr>
            <w:r>
              <w:rPr>
                <w:rFonts w:ascii="Times New Roman" w:hAnsi="Times New Roman" w:eastAsia="宋体"/>
                <w:sz w:val="18"/>
              </w:rPr>
              <w:t>0.60</w:t>
            </w:r>
          </w:p>
        </w:tc>
        <w:tc>
          <w:tcPr>
            <w:tcW w:type="dxa" w:w="1531"/>
          </w:tcPr>
          <w:p>
            <w:pPr>
              <w:spacing w:after="40" w:before="40"/>
              <w:jc w:val="left"/>
            </w:pPr>
            <w:r>
              <w:rPr>
                <w:rFonts w:ascii="Times New Roman" w:hAnsi="Times New Roman" w:eastAsia="宋体"/>
                <w:sz w:val="18"/>
              </w:rPr>
              <w:t>87</w:t>
            </w:r>
          </w:p>
        </w:tc>
        <w:tc>
          <w:tcPr>
            <w:tcW w:type="dxa" w:w="1531"/>
          </w:tcPr>
          <w:p>
            <w:pPr>
              <w:spacing w:after="40" w:before="40"/>
              <w:jc w:val="left"/>
            </w:pPr>
            <w:r>
              <w:rPr>
                <w:rFonts w:ascii="Times New Roman" w:hAnsi="Times New Roman" w:eastAsia="宋体"/>
                <w:sz w:val="18"/>
              </w:rPr>
              <w:t>98.78%</w:t>
            </w:r>
          </w:p>
        </w:tc>
      </w:tr>
    </w:tbl>
    <w:p>
      <w:pPr>
        <w:spacing w:after="80"/>
      </w:pPr>
    </w:p>
    <w:p>
      <w:pPr>
        <w:spacing w:after="120" w:line="324" w:lineRule="auto"/>
      </w:pPr>
      <w:r>
        <w:rPr>
          <w:rFonts w:ascii="Times New Roman" w:hAnsi="Times New Roman" w:eastAsia="宋体"/>
          <w:b/>
          <w:sz w:val="21"/>
        </w:rPr>
        <w:t>关键性</w:t>
      </w:r>
      <w:r>
        <w:rPr>
          <w:rFonts w:ascii="Times New Roman" w:hAnsi="Times New Roman" w:eastAsia="宋体"/>
          <w:sz w:val="21"/>
        </w:rPr>
        <w:t>：开放权重仅 9 天，已有 11 家 provider 以几乎完全相同的价格供应同一模型。这是典型的</w:t>
      </w:r>
      <w:r>
        <w:rPr>
          <w:rFonts w:ascii="Times New Roman" w:hAnsi="Times New Roman" w:eastAsia="宋体"/>
          <w:b/>
          <w:sz w:val="21"/>
        </w:rPr>
        <w:t>同质化商品市场</w:t>
      </w:r>
      <w:r>
        <w:rPr>
          <w:rFonts w:ascii="Times New Roman" w:hAnsi="Times New Roman" w:eastAsia="宋体"/>
          <w:sz w:val="21"/>
        </w:rPr>
        <w:t>，新进入者是纯粹的价格接受者，不具备定价权。</w:t>
      </w:r>
    </w:p>
    <w:p>
      <w:pPr>
        <w:pStyle w:val="Heading2"/>
        <w:keepNext/>
        <w:spacing w:before="320" w:after="120"/>
      </w:pPr>
      <w:r>
        <w:rPr>
          <w:rFonts w:ascii="Segoe UI" w:hAnsi="Segoe UI" w:eastAsia="微软雅黑"/>
          <w:b/>
          <w:color w:val="1F3B63"/>
          <w:sz w:val="30"/>
        </w:rPr>
        <w:t>S-09 缓存命中率与有效输入价（决定收入的隐藏变量）</w:t>
      </w:r>
    </w:p>
    <w:p>
      <w:pPr>
        <w:spacing w:after="120" w:line="324" w:lineRule="auto"/>
      </w:pPr>
      <w:r>
        <w:rPr>
          <w:rFonts w:ascii="Times New Roman" w:hAnsi="Times New Roman" w:eastAsia="宋体"/>
          <w:sz w:val="21"/>
        </w:rPr>
        <w:t>来源：OpenRouter 同页 "Effective Pricing"（近 1 日实测）</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c>
          <w:tcPr>
            <w:tcW w:type="dxa" w:w="1837"/>
            <w:shd w:val="clear" w:color="auto" w:fill="1F3B63"/>
          </w:tcPr>
          <w:p>
            <w:pPr>
              <w:spacing w:after="40" w:before="40"/>
              <w:jc w:val="center"/>
            </w:pPr>
            <w:r>
              <w:rPr>
                <w:rFonts w:ascii="Segoe UI" w:hAnsi="Segoe UI" w:eastAsia="微软雅黑"/>
                <w:b/>
                <w:color w:val="FFFFFF"/>
                <w:sz w:val="18"/>
              </w:rPr>
              <w:t>Provider</w:t>
            </w:r>
          </w:p>
        </w:tc>
        <w:tc>
          <w:tcPr>
            <w:tcW w:type="dxa" w:w="1837"/>
            <w:shd w:val="clear" w:color="auto" w:fill="1F3B63"/>
          </w:tcPr>
          <w:p>
            <w:pPr>
              <w:spacing w:after="40" w:before="40"/>
              <w:jc w:val="center"/>
            </w:pPr>
            <w:r>
              <w:rPr>
                <w:rFonts w:ascii="Segoe UI" w:hAnsi="Segoe UI" w:eastAsia="微软雅黑"/>
                <w:b/>
                <w:color w:val="FFFFFF"/>
                <w:sz w:val="18"/>
              </w:rPr>
              <w:t>有效输入价 $/M</w:t>
            </w:r>
          </w:p>
        </w:tc>
        <w:tc>
          <w:tcPr>
            <w:tcW w:type="dxa" w:w="1837"/>
            <w:shd w:val="clear" w:color="auto" w:fill="1F3B63"/>
          </w:tcPr>
          <w:p>
            <w:pPr>
              <w:spacing w:after="40" w:before="40"/>
              <w:jc w:val="center"/>
            </w:pPr>
            <w:r>
              <w:rPr>
                <w:rFonts w:ascii="Segoe UI" w:hAnsi="Segoe UI" w:eastAsia="微软雅黑"/>
                <w:b/>
                <w:color w:val="FFFFFF"/>
                <w:sz w:val="18"/>
              </w:rPr>
              <w:t>输出价 $/M</w:t>
            </w:r>
          </w:p>
        </w:tc>
        <w:tc>
          <w:tcPr>
            <w:tcW w:type="dxa" w:w="1837"/>
            <w:shd w:val="clear" w:color="auto" w:fill="1F3B63"/>
          </w:tcPr>
          <w:p>
            <w:pPr>
              <w:spacing w:after="40" w:before="40"/>
              <w:jc w:val="center"/>
            </w:pPr>
            <w:r>
              <w:rPr>
                <w:rFonts w:ascii="Segoe UI" w:hAnsi="Segoe UI" w:eastAsia="微软雅黑"/>
                <w:b/>
                <w:color w:val="FFFFFF"/>
                <w:sz w:val="18"/>
              </w:rPr>
              <w:t>缓存命中率</w:t>
            </w:r>
          </w:p>
        </w:tc>
        <w:tc>
          <w:tcPr>
            <w:tcW w:type="dxa" w:w="1837"/>
            <w:shd w:val="clear" w:color="auto" w:fill="1F3B63"/>
          </w:tcPr>
          <w:p>
            <w:pPr>
              <w:spacing w:after="40" w:before="40"/>
              <w:jc w:val="center"/>
            </w:pPr>
            <w:r>
              <w:rPr>
                <w:rFonts w:ascii="Segoe UI" w:hAnsi="Segoe UI" w:eastAsia="微软雅黑"/>
                <w:b/>
                <w:color w:val="FFFFFF"/>
                <w:sz w:val="18"/>
              </w:rPr>
              <w:t>token 份额</w:t>
            </w:r>
          </w:p>
        </w:tc>
      </w:tr>
      <w:tr>
        <w:tc>
          <w:tcPr>
            <w:tcW w:type="dxa" w:w="1837"/>
          </w:tcPr>
          <w:p>
            <w:pPr>
              <w:spacing w:after="40" w:before="40"/>
              <w:jc w:val="left"/>
            </w:pPr>
            <w:r>
              <w:rPr>
                <w:rFonts w:ascii="Times New Roman" w:hAnsi="Times New Roman" w:eastAsia="宋体"/>
                <w:sz w:val="18"/>
              </w:rPr>
              <w:t>Moonshot AI</w:t>
            </w:r>
          </w:p>
        </w:tc>
        <w:tc>
          <w:tcPr>
            <w:tcW w:type="dxa" w:w="1837"/>
          </w:tcPr>
          <w:p>
            <w:pPr>
              <w:spacing w:after="40" w:before="40"/>
              <w:jc w:val="left"/>
            </w:pPr>
            <w:r>
              <w:rPr>
                <w:rFonts w:ascii="Times New Roman" w:hAnsi="Times New Roman" w:eastAsia="宋体"/>
                <w:b/>
                <w:sz w:val="18"/>
              </w:rPr>
              <w:t>0.588</w:t>
            </w:r>
          </w:p>
        </w:tc>
        <w:tc>
          <w:tcPr>
            <w:tcW w:type="dxa" w:w="1837"/>
          </w:tcPr>
          <w:p>
            <w:pPr>
              <w:spacing w:after="40" w:before="40"/>
              <w:jc w:val="left"/>
            </w:pPr>
            <w:r>
              <w:rPr>
                <w:rFonts w:ascii="Times New Roman" w:hAnsi="Times New Roman" w:eastAsia="宋体"/>
                <w:sz w:val="18"/>
              </w:rPr>
              <w:t>15.00</w:t>
            </w:r>
          </w:p>
        </w:tc>
        <w:tc>
          <w:tcPr>
            <w:tcW w:type="dxa" w:w="1837"/>
          </w:tcPr>
          <w:p>
            <w:pPr>
              <w:spacing w:after="40" w:before="40"/>
              <w:jc w:val="left"/>
            </w:pPr>
            <w:r>
              <w:rPr>
                <w:rFonts w:ascii="Times New Roman" w:hAnsi="Times New Roman" w:eastAsia="宋体"/>
                <w:sz w:val="18"/>
              </w:rPr>
              <w:t>89.3%</w:t>
            </w:r>
          </w:p>
        </w:tc>
        <w:tc>
          <w:tcPr>
            <w:tcW w:type="dxa" w:w="1837"/>
          </w:tcPr>
          <w:p>
            <w:pPr>
              <w:spacing w:after="40" w:before="40"/>
              <w:jc w:val="left"/>
            </w:pPr>
            <w:r>
              <w:rPr>
                <w:rFonts w:ascii="Times New Roman" w:hAnsi="Times New Roman" w:eastAsia="宋体"/>
                <w:sz w:val="18"/>
              </w:rPr>
              <w:t>51.6%</w:t>
            </w:r>
          </w:p>
        </w:tc>
      </w:tr>
      <w:tr>
        <w:tc>
          <w:tcPr>
            <w:tcW w:type="dxa" w:w="1837"/>
            <w:shd w:val="clear" w:color="auto" w:fill="F7F8FA"/>
          </w:tcPr>
          <w:p>
            <w:pPr>
              <w:spacing w:after="40" w:before="40"/>
              <w:jc w:val="left"/>
            </w:pPr>
            <w:r>
              <w:rPr>
                <w:rFonts w:ascii="Times New Roman" w:hAnsi="Times New Roman" w:eastAsia="宋体"/>
                <w:sz w:val="18"/>
              </w:rPr>
              <w:t>Modal</w:t>
            </w:r>
          </w:p>
        </w:tc>
        <w:tc>
          <w:tcPr>
            <w:tcW w:type="dxa" w:w="1837"/>
            <w:shd w:val="clear" w:color="auto" w:fill="F7F8FA"/>
          </w:tcPr>
          <w:p>
            <w:pPr>
              <w:spacing w:after="40" w:before="40"/>
              <w:jc w:val="left"/>
            </w:pPr>
            <w:r>
              <w:rPr>
                <w:rFonts w:ascii="Times New Roman" w:hAnsi="Times New Roman" w:eastAsia="宋体"/>
                <w:sz w:val="18"/>
              </w:rPr>
              <w:t>0.661</w:t>
            </w:r>
          </w:p>
        </w:tc>
        <w:tc>
          <w:tcPr>
            <w:tcW w:type="dxa" w:w="1837"/>
            <w:shd w:val="clear" w:color="auto" w:fill="F7F8FA"/>
          </w:tcPr>
          <w:p>
            <w:pPr>
              <w:spacing w:after="40" w:before="40"/>
              <w:jc w:val="left"/>
            </w:pPr>
            <w:r>
              <w:rPr>
                <w:rFonts w:ascii="Times New Roman" w:hAnsi="Times New Roman" w:eastAsia="宋体"/>
                <w:sz w:val="18"/>
              </w:rPr>
              <w:t>15.00</w:t>
            </w:r>
          </w:p>
        </w:tc>
        <w:tc>
          <w:tcPr>
            <w:tcW w:type="dxa" w:w="1837"/>
            <w:shd w:val="clear" w:color="auto" w:fill="F7F8FA"/>
          </w:tcPr>
          <w:p>
            <w:pPr>
              <w:spacing w:after="40" w:before="40"/>
              <w:jc w:val="left"/>
            </w:pPr>
            <w:r>
              <w:rPr>
                <w:rFonts w:ascii="Times New Roman" w:hAnsi="Times New Roman" w:eastAsia="宋体"/>
                <w:sz w:val="18"/>
              </w:rPr>
              <w:t>86.6%</w:t>
            </w:r>
          </w:p>
        </w:tc>
        <w:tc>
          <w:tcPr>
            <w:tcW w:type="dxa" w:w="1837"/>
            <w:shd w:val="clear" w:color="auto" w:fill="F7F8FA"/>
          </w:tcPr>
          <w:p>
            <w:pPr>
              <w:spacing w:after="40" w:before="40"/>
              <w:jc w:val="left"/>
            </w:pPr>
            <w:r>
              <w:rPr>
                <w:rFonts w:ascii="Times New Roman" w:hAnsi="Times New Roman" w:eastAsia="宋体"/>
                <w:sz w:val="18"/>
              </w:rPr>
              <w:t>17.8%</w:t>
            </w:r>
          </w:p>
        </w:tc>
      </w:tr>
      <w:tr>
        <w:tc>
          <w:tcPr>
            <w:tcW w:type="dxa" w:w="1837"/>
          </w:tcPr>
          <w:p>
            <w:pPr>
              <w:spacing w:after="40" w:before="40"/>
              <w:jc w:val="left"/>
            </w:pPr>
            <w:r>
              <w:rPr>
                <w:rFonts w:ascii="Times New Roman" w:hAnsi="Times New Roman" w:eastAsia="宋体"/>
                <w:sz w:val="18"/>
              </w:rPr>
              <w:t>Together</w:t>
            </w:r>
          </w:p>
        </w:tc>
        <w:tc>
          <w:tcPr>
            <w:tcW w:type="dxa" w:w="1837"/>
          </w:tcPr>
          <w:p>
            <w:pPr>
              <w:spacing w:after="40" w:before="40"/>
              <w:jc w:val="left"/>
            </w:pPr>
            <w:r>
              <w:rPr>
                <w:rFonts w:ascii="Times New Roman" w:hAnsi="Times New Roman" w:eastAsia="宋体"/>
                <w:sz w:val="18"/>
              </w:rPr>
              <w:t>0.779</w:t>
            </w:r>
          </w:p>
        </w:tc>
        <w:tc>
          <w:tcPr>
            <w:tcW w:type="dxa" w:w="1837"/>
          </w:tcPr>
          <w:p>
            <w:pPr>
              <w:spacing w:after="40" w:before="40"/>
              <w:jc w:val="left"/>
            </w:pPr>
            <w:r>
              <w:rPr>
                <w:rFonts w:ascii="Times New Roman" w:hAnsi="Times New Roman" w:eastAsia="宋体"/>
                <w:sz w:val="18"/>
              </w:rPr>
              <w:t>15.00</w:t>
            </w:r>
          </w:p>
        </w:tc>
        <w:tc>
          <w:tcPr>
            <w:tcW w:type="dxa" w:w="1837"/>
          </w:tcPr>
          <w:p>
            <w:pPr>
              <w:spacing w:after="40" w:before="40"/>
              <w:jc w:val="left"/>
            </w:pPr>
            <w:r>
              <w:rPr>
                <w:rFonts w:ascii="Times New Roman" w:hAnsi="Times New Roman" w:eastAsia="宋体"/>
                <w:sz w:val="18"/>
              </w:rPr>
              <w:t>82.2%</w:t>
            </w:r>
          </w:p>
        </w:tc>
        <w:tc>
          <w:tcPr>
            <w:tcW w:type="dxa" w:w="1837"/>
          </w:tcPr>
          <w:p>
            <w:pPr>
              <w:spacing w:after="40" w:before="40"/>
              <w:jc w:val="left"/>
            </w:pPr>
            <w:r>
              <w:rPr>
                <w:rFonts w:ascii="Times New Roman" w:hAnsi="Times New Roman" w:eastAsia="宋体"/>
                <w:sz w:val="18"/>
              </w:rPr>
              <w:t>14.5%</w:t>
            </w:r>
          </w:p>
        </w:tc>
      </w:tr>
      <w:tr>
        <w:tc>
          <w:tcPr>
            <w:tcW w:type="dxa" w:w="1837"/>
            <w:shd w:val="clear" w:color="auto" w:fill="F7F8FA"/>
          </w:tcPr>
          <w:p>
            <w:pPr>
              <w:spacing w:after="40" w:before="40"/>
              <w:jc w:val="left"/>
            </w:pPr>
            <w:r>
              <w:rPr>
                <w:rFonts w:ascii="Times New Roman" w:hAnsi="Times New Roman" w:eastAsia="宋体"/>
                <w:sz w:val="18"/>
              </w:rPr>
              <w:t>Fireworks</w:t>
            </w:r>
          </w:p>
        </w:tc>
        <w:tc>
          <w:tcPr>
            <w:tcW w:type="dxa" w:w="1837"/>
            <w:shd w:val="clear" w:color="auto" w:fill="F7F8FA"/>
          </w:tcPr>
          <w:p>
            <w:pPr>
              <w:spacing w:after="40" w:before="40"/>
              <w:jc w:val="left"/>
            </w:pPr>
            <w:r>
              <w:rPr>
                <w:rFonts w:ascii="Times New Roman" w:hAnsi="Times New Roman" w:eastAsia="宋体"/>
                <w:sz w:val="18"/>
              </w:rPr>
              <w:t>0.679</w:t>
            </w:r>
          </w:p>
        </w:tc>
        <w:tc>
          <w:tcPr>
            <w:tcW w:type="dxa" w:w="1837"/>
            <w:shd w:val="clear" w:color="auto" w:fill="F7F8FA"/>
          </w:tcPr>
          <w:p>
            <w:pPr>
              <w:spacing w:after="40" w:before="40"/>
              <w:jc w:val="left"/>
            </w:pPr>
            <w:r>
              <w:rPr>
                <w:rFonts w:ascii="Times New Roman" w:hAnsi="Times New Roman" w:eastAsia="宋体"/>
                <w:sz w:val="18"/>
              </w:rPr>
              <w:t>15.00</w:t>
            </w:r>
          </w:p>
        </w:tc>
        <w:tc>
          <w:tcPr>
            <w:tcW w:type="dxa" w:w="1837"/>
            <w:shd w:val="clear" w:color="auto" w:fill="F7F8FA"/>
          </w:tcPr>
          <w:p>
            <w:pPr>
              <w:spacing w:after="40" w:before="40"/>
              <w:jc w:val="left"/>
            </w:pPr>
            <w:r>
              <w:rPr>
                <w:rFonts w:ascii="Times New Roman" w:hAnsi="Times New Roman" w:eastAsia="宋体"/>
                <w:sz w:val="18"/>
              </w:rPr>
              <w:t>86.0%</w:t>
            </w:r>
          </w:p>
        </w:tc>
        <w:tc>
          <w:tcPr>
            <w:tcW w:type="dxa" w:w="1837"/>
            <w:shd w:val="clear" w:color="auto" w:fill="F7F8FA"/>
          </w:tcPr>
          <w:p>
            <w:pPr>
              <w:spacing w:after="40" w:before="40"/>
              <w:jc w:val="left"/>
            </w:pPr>
            <w:r>
              <w:rPr>
                <w:rFonts w:ascii="Times New Roman" w:hAnsi="Times New Roman" w:eastAsia="宋体"/>
                <w:sz w:val="18"/>
              </w:rPr>
              <w:t>7.5%</w:t>
            </w:r>
          </w:p>
        </w:tc>
      </w:tr>
      <w:tr>
        <w:tc>
          <w:tcPr>
            <w:tcW w:type="dxa" w:w="1837"/>
          </w:tcPr>
          <w:p>
            <w:pPr>
              <w:spacing w:after="40" w:before="40"/>
              <w:jc w:val="left"/>
            </w:pPr>
            <w:r>
              <w:rPr>
                <w:rFonts w:ascii="Times New Roman" w:hAnsi="Times New Roman" w:eastAsia="宋体"/>
                <w:sz w:val="18"/>
              </w:rPr>
              <w:t>Morph</w:t>
            </w:r>
          </w:p>
        </w:tc>
        <w:tc>
          <w:tcPr>
            <w:tcW w:type="dxa" w:w="1837"/>
          </w:tcPr>
          <w:p>
            <w:pPr>
              <w:spacing w:after="40" w:before="40"/>
              <w:jc w:val="left"/>
            </w:pPr>
            <w:r>
              <w:rPr>
                <w:rFonts w:ascii="Times New Roman" w:hAnsi="Times New Roman" w:eastAsia="宋体"/>
                <w:sz w:val="18"/>
              </w:rPr>
              <w:t>0.629</w:t>
            </w:r>
          </w:p>
        </w:tc>
        <w:tc>
          <w:tcPr>
            <w:tcW w:type="dxa" w:w="1837"/>
          </w:tcPr>
          <w:p>
            <w:pPr>
              <w:spacing w:after="40" w:before="40"/>
              <w:jc w:val="left"/>
            </w:pPr>
            <w:r>
              <w:rPr>
                <w:rFonts w:ascii="Times New Roman" w:hAnsi="Times New Roman" w:eastAsia="宋体"/>
                <w:sz w:val="18"/>
              </w:rPr>
              <w:t>14.00</w:t>
            </w:r>
          </w:p>
        </w:tc>
        <w:tc>
          <w:tcPr>
            <w:tcW w:type="dxa" w:w="1837"/>
          </w:tcPr>
          <w:p>
            <w:pPr>
              <w:spacing w:after="40" w:before="40"/>
              <w:jc w:val="left"/>
            </w:pPr>
            <w:r>
              <w:rPr>
                <w:rFonts w:ascii="Times New Roman" w:hAnsi="Times New Roman" w:eastAsia="宋体"/>
                <w:sz w:val="18"/>
              </w:rPr>
              <w:t>87.0%</w:t>
            </w:r>
          </w:p>
        </w:tc>
        <w:tc>
          <w:tcPr>
            <w:tcW w:type="dxa" w:w="1837"/>
          </w:tcPr>
          <w:p>
            <w:pPr>
              <w:spacing w:after="40" w:before="40"/>
              <w:jc w:val="left"/>
            </w:pPr>
            <w:r>
              <w:rPr>
                <w:rFonts w:ascii="Times New Roman" w:hAnsi="Times New Roman" w:eastAsia="宋体"/>
                <w:sz w:val="18"/>
              </w:rPr>
              <w:t>3.1%</w:t>
            </w:r>
          </w:p>
        </w:tc>
      </w:tr>
      <w:tr>
        <w:tc>
          <w:tcPr>
            <w:tcW w:type="dxa" w:w="1837"/>
            <w:shd w:val="clear" w:color="auto" w:fill="F7F8FA"/>
          </w:tcPr>
          <w:p>
            <w:pPr>
              <w:spacing w:after="40" w:before="40"/>
              <w:jc w:val="left"/>
            </w:pPr>
            <w:r>
              <w:rPr>
                <w:rFonts w:ascii="Times New Roman" w:hAnsi="Times New Roman" w:eastAsia="宋体"/>
                <w:sz w:val="18"/>
              </w:rPr>
              <w:t>DigitalOcean</w:t>
            </w:r>
          </w:p>
        </w:tc>
        <w:tc>
          <w:tcPr>
            <w:tcW w:type="dxa" w:w="1837"/>
            <w:shd w:val="clear" w:color="auto" w:fill="F7F8FA"/>
          </w:tcPr>
          <w:p>
            <w:pPr>
              <w:spacing w:after="40" w:before="40"/>
              <w:jc w:val="left"/>
            </w:pPr>
            <w:r>
              <w:rPr>
                <w:rFonts w:ascii="Times New Roman" w:hAnsi="Times New Roman" w:eastAsia="宋体"/>
                <w:sz w:val="18"/>
              </w:rPr>
              <w:t>0.963</w:t>
            </w:r>
          </w:p>
        </w:tc>
        <w:tc>
          <w:tcPr>
            <w:tcW w:type="dxa" w:w="1837"/>
            <w:shd w:val="clear" w:color="auto" w:fill="F7F8FA"/>
          </w:tcPr>
          <w:p>
            <w:pPr>
              <w:spacing w:after="40" w:before="40"/>
              <w:jc w:val="left"/>
            </w:pPr>
            <w:r>
              <w:rPr>
                <w:rFonts w:ascii="Times New Roman" w:hAnsi="Times New Roman" w:eastAsia="宋体"/>
                <w:sz w:val="18"/>
              </w:rPr>
              <w:t>15.00</w:t>
            </w:r>
          </w:p>
        </w:tc>
        <w:tc>
          <w:tcPr>
            <w:tcW w:type="dxa" w:w="1837"/>
            <w:shd w:val="clear" w:color="auto" w:fill="F7F8FA"/>
          </w:tcPr>
          <w:p>
            <w:pPr>
              <w:spacing w:after="40" w:before="40"/>
              <w:jc w:val="left"/>
            </w:pPr>
            <w:r>
              <w:rPr>
                <w:rFonts w:ascii="Times New Roman" w:hAnsi="Times New Roman" w:eastAsia="宋体"/>
                <w:sz w:val="18"/>
              </w:rPr>
              <w:t>75.4%</w:t>
            </w:r>
          </w:p>
        </w:tc>
        <w:tc>
          <w:tcPr>
            <w:tcW w:type="dxa" w:w="1837"/>
            <w:shd w:val="clear" w:color="auto" w:fill="F7F8FA"/>
          </w:tcPr>
          <w:p>
            <w:pPr>
              <w:spacing w:after="40" w:before="40"/>
              <w:jc w:val="left"/>
            </w:pPr>
            <w:r>
              <w:rPr>
                <w:rFonts w:ascii="Times New Roman" w:hAnsi="Times New Roman" w:eastAsia="宋体"/>
                <w:sz w:val="18"/>
              </w:rPr>
              <w:t>2.7%</w:t>
            </w:r>
          </w:p>
        </w:tc>
      </w:tr>
      <w:tr>
        <w:tc>
          <w:tcPr>
            <w:tcW w:type="dxa" w:w="1837"/>
          </w:tcPr>
          <w:p>
            <w:pPr>
              <w:spacing w:after="40" w:before="40"/>
              <w:jc w:val="left"/>
            </w:pPr>
            <w:r>
              <w:rPr>
                <w:rFonts w:ascii="Times New Roman" w:hAnsi="Times New Roman" w:eastAsia="宋体"/>
                <w:sz w:val="18"/>
              </w:rPr>
              <w:t>Baseten</w:t>
            </w:r>
          </w:p>
        </w:tc>
        <w:tc>
          <w:tcPr>
            <w:tcW w:type="dxa" w:w="1837"/>
          </w:tcPr>
          <w:p>
            <w:pPr>
              <w:spacing w:after="40" w:before="40"/>
              <w:jc w:val="left"/>
            </w:pPr>
            <w:r>
              <w:rPr>
                <w:rFonts w:ascii="Times New Roman" w:hAnsi="Times New Roman" w:eastAsia="宋体"/>
                <w:sz w:val="18"/>
              </w:rPr>
              <w:t>1.23</w:t>
            </w:r>
          </w:p>
        </w:tc>
        <w:tc>
          <w:tcPr>
            <w:tcW w:type="dxa" w:w="1837"/>
          </w:tcPr>
          <w:p>
            <w:pPr>
              <w:spacing w:after="40" w:before="40"/>
              <w:jc w:val="left"/>
            </w:pPr>
            <w:r>
              <w:rPr>
                <w:rFonts w:ascii="Times New Roman" w:hAnsi="Times New Roman" w:eastAsia="宋体"/>
                <w:sz w:val="18"/>
              </w:rPr>
              <w:t>15.00</w:t>
            </w:r>
          </w:p>
        </w:tc>
        <w:tc>
          <w:tcPr>
            <w:tcW w:type="dxa" w:w="1837"/>
          </w:tcPr>
          <w:p>
            <w:pPr>
              <w:spacing w:after="40" w:before="40"/>
              <w:jc w:val="left"/>
            </w:pPr>
            <w:r>
              <w:rPr>
                <w:rFonts w:ascii="Times New Roman" w:hAnsi="Times New Roman" w:eastAsia="宋体"/>
                <w:sz w:val="18"/>
              </w:rPr>
              <w:t>65.5%</w:t>
            </w:r>
          </w:p>
        </w:tc>
        <w:tc>
          <w:tcPr>
            <w:tcW w:type="dxa" w:w="1837"/>
          </w:tcPr>
          <w:p>
            <w:pPr>
              <w:spacing w:after="40" w:before="40"/>
              <w:jc w:val="left"/>
            </w:pPr>
            <w:r>
              <w:rPr>
                <w:rFonts w:ascii="Times New Roman" w:hAnsi="Times New Roman" w:eastAsia="宋体"/>
                <w:sz w:val="18"/>
              </w:rPr>
              <w:t>0.4%</w:t>
            </w:r>
          </w:p>
        </w:tc>
      </w:tr>
      <w:tr>
        <w:tc>
          <w:tcPr>
            <w:tcW w:type="dxa" w:w="1837"/>
            <w:shd w:val="clear" w:color="auto" w:fill="F7F8FA"/>
          </w:tcPr>
          <w:p>
            <w:pPr>
              <w:spacing w:after="40" w:before="40"/>
              <w:jc w:val="left"/>
            </w:pPr>
            <w:r>
              <w:rPr>
                <w:rFonts w:ascii="Times New Roman" w:hAnsi="Times New Roman" w:eastAsia="宋体"/>
                <w:sz w:val="18"/>
              </w:rPr>
              <w:t>Chutes</w:t>
            </w:r>
          </w:p>
        </w:tc>
        <w:tc>
          <w:tcPr>
            <w:tcW w:type="dxa" w:w="1837"/>
            <w:shd w:val="clear" w:color="auto" w:fill="F7F8FA"/>
          </w:tcPr>
          <w:p>
            <w:pPr>
              <w:spacing w:after="40" w:before="40"/>
              <w:jc w:val="left"/>
            </w:pPr>
            <w:r>
              <w:rPr>
                <w:rFonts w:ascii="Times New Roman" w:hAnsi="Times New Roman" w:eastAsia="宋体"/>
                <w:sz w:val="18"/>
              </w:rPr>
              <w:t>2.46</w:t>
            </w:r>
          </w:p>
        </w:tc>
        <w:tc>
          <w:tcPr>
            <w:tcW w:type="dxa" w:w="1837"/>
            <w:shd w:val="clear" w:color="auto" w:fill="F7F8FA"/>
          </w:tcPr>
          <w:p>
            <w:pPr>
              <w:spacing w:after="40" w:before="40"/>
              <w:jc w:val="left"/>
            </w:pPr>
            <w:r>
              <w:rPr>
                <w:rFonts w:ascii="Times New Roman" w:hAnsi="Times New Roman" w:eastAsia="宋体"/>
                <w:sz w:val="18"/>
              </w:rPr>
              <w:t>15.00</w:t>
            </w:r>
          </w:p>
        </w:tc>
        <w:tc>
          <w:tcPr>
            <w:tcW w:type="dxa" w:w="1837"/>
            <w:shd w:val="clear" w:color="auto" w:fill="F7F8FA"/>
          </w:tcPr>
          <w:p>
            <w:pPr>
              <w:spacing w:after="40" w:before="40"/>
              <w:jc w:val="left"/>
            </w:pPr>
            <w:r>
              <w:rPr>
                <w:rFonts w:ascii="Times New Roman" w:hAnsi="Times New Roman" w:eastAsia="宋体"/>
                <w:sz w:val="18"/>
              </w:rPr>
              <w:t>19.9%</w:t>
            </w:r>
          </w:p>
        </w:tc>
        <w:tc>
          <w:tcPr>
            <w:tcW w:type="dxa" w:w="1837"/>
            <w:shd w:val="clear" w:color="auto" w:fill="F7F8FA"/>
          </w:tcPr>
          <w:p>
            <w:pPr>
              <w:spacing w:after="40" w:before="40"/>
              <w:jc w:val="left"/>
            </w:pPr>
            <w:r>
              <w:rPr>
                <w:rFonts w:ascii="Times New Roman" w:hAnsi="Times New Roman" w:eastAsia="宋体"/>
                <w:sz w:val="18"/>
              </w:rPr>
              <w:t>0.1%</w:t>
            </w:r>
          </w:p>
        </w:tc>
      </w:tr>
    </w:tbl>
    <w:p>
      <w:pPr>
        <w:spacing w:after="80"/>
      </w:pPr>
    </w:p>
    <w:p>
      <w:pPr>
        <w:spacing w:after="120" w:line="324" w:lineRule="auto"/>
      </w:pPr>
      <w:r>
        <w:rPr>
          <w:rFonts w:ascii="Times New Roman" w:hAnsi="Times New Roman" w:eastAsia="宋体"/>
          <w:b/>
          <w:sz w:val="21"/>
        </w:rPr>
        <w:t>关键性</w:t>
      </w:r>
      <w:r>
        <w:rPr>
          <w:rFonts w:ascii="Times New Roman" w:hAnsi="Times New Roman" w:eastAsia="宋体"/>
          <w:sz w:val="21"/>
        </w:rPr>
        <w:t>：真实业务的缓存命中率高达 65%–89%，导致</w:t>
      </w:r>
      <w:r>
        <w:rPr>
          <w:rFonts w:ascii="Times New Roman" w:hAnsi="Times New Roman" w:eastAsia="宋体"/>
          <w:b/>
          <w:sz w:val="21"/>
        </w:rPr>
        <w:t>有效输入价仅为标价的 20%–33%</w:t>
      </w:r>
      <w:r>
        <w:rPr>
          <w:rFonts w:ascii="Times New Roman" w:hAnsi="Times New Roman" w:eastAsia="宋体"/>
          <w:sz w:val="21"/>
        </w:rPr>
        <w:t xml:space="preserve">。若按标价 $3.00/M 计算输入收入，会把输入侧收入高估 3–5 倍。本模型取行业中位区间 </w:t>
      </w:r>
      <w:r>
        <w:rPr>
          <w:rFonts w:ascii="Times New Roman" w:hAnsi="Times New Roman" w:eastAsia="宋体"/>
          <w:b/>
          <w:sz w:val="21"/>
        </w:rPr>
        <w:t>85% 命中率</w:t>
      </w:r>
      <w:r>
        <w:rPr>
          <w:rFonts w:ascii="Times New Roman" w:hAnsi="Times New Roman" w:eastAsia="宋体"/>
          <w:sz w:val="21"/>
        </w:rPr>
        <w:t>，对应有效输入价 $0.705/M，并对该参数做敏感性。</w:t>
      </w:r>
    </w:p>
    <w:p>
      <w:pPr>
        <w:pStyle w:val="Heading2"/>
        <w:keepNext/>
        <w:spacing w:before="320" w:after="120"/>
      </w:pPr>
      <w:r>
        <w:rPr>
          <w:rFonts w:ascii="Segoe UI" w:hAnsi="Segoe UI" w:eastAsia="微软雅黑"/>
          <w:b/>
          <w:color w:val="1F3B63"/>
          <w:sz w:val="30"/>
        </w:rPr>
        <w:t>S-10 国内 B300 八卡整机租金（多源）</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val="clear" w:color="auto" w:fill="1F3B63"/>
          </w:tcPr>
          <w:p>
            <w:pPr>
              <w:spacing w:after="40" w:before="40"/>
              <w:jc w:val="center"/>
            </w:pPr>
            <w:r>
              <w:rPr>
                <w:rFonts w:ascii="Segoe UI" w:hAnsi="Segoe UI" w:eastAsia="微软雅黑"/>
                <w:b/>
                <w:color w:val="FFFFFF"/>
                <w:sz w:val="18"/>
              </w:rPr>
              <w:t>来源</w:t>
            </w:r>
          </w:p>
        </w:tc>
        <w:tc>
          <w:tcPr>
            <w:tcW w:type="dxa" w:w="2296"/>
            <w:shd w:val="clear" w:color="auto" w:fill="1F3B63"/>
          </w:tcPr>
          <w:p>
            <w:pPr>
              <w:spacing w:after="40" w:before="40"/>
              <w:jc w:val="center"/>
            </w:pPr>
            <w:r>
              <w:rPr>
                <w:rFonts w:ascii="Segoe UI" w:hAnsi="Segoe UI" w:eastAsia="微软雅黑"/>
                <w:b/>
                <w:color w:val="FFFFFF"/>
                <w:sz w:val="18"/>
              </w:rPr>
              <w:t>报价</w:t>
            </w:r>
          </w:p>
        </w:tc>
        <w:tc>
          <w:tcPr>
            <w:tcW w:type="dxa" w:w="2296"/>
            <w:shd w:val="clear" w:color="auto" w:fill="1F3B63"/>
          </w:tcPr>
          <w:p>
            <w:pPr>
              <w:spacing w:after="40" w:before="40"/>
              <w:jc w:val="center"/>
            </w:pPr>
            <w:r>
              <w:rPr>
                <w:rFonts w:ascii="Segoe UI" w:hAnsi="Segoe UI" w:eastAsia="微软雅黑"/>
                <w:b/>
                <w:color w:val="FFFFFF"/>
                <w:sz w:val="18"/>
              </w:rPr>
              <w:t>说明</w:t>
            </w:r>
          </w:p>
        </w:tc>
        <w:tc>
          <w:tcPr>
            <w:tcW w:type="dxa" w:w="2296"/>
            <w:shd w:val="clear" w:color="auto" w:fill="1F3B63"/>
          </w:tcPr>
          <w:p>
            <w:pPr>
              <w:spacing w:after="40" w:before="40"/>
              <w:jc w:val="center"/>
            </w:pPr>
            <w:r>
              <w:rPr>
                <w:rFonts w:ascii="Segoe UI" w:hAnsi="Segoe UI" w:eastAsia="微软雅黑"/>
                <w:b/>
                <w:color w:val="FFFFFF"/>
                <w:sz w:val="18"/>
              </w:rPr>
              <w:t>链接</w:t>
            </w:r>
          </w:p>
        </w:tc>
      </w:tr>
      <w:tr>
        <w:tc>
          <w:tcPr>
            <w:tcW w:type="dxa" w:w="2296"/>
          </w:tcPr>
          <w:p>
            <w:pPr>
              <w:spacing w:after="40" w:before="40"/>
              <w:jc w:val="left"/>
            </w:pPr>
            <w:r>
              <w:rPr>
                <w:rFonts w:ascii="Times New Roman" w:hAnsi="Times New Roman" w:eastAsia="宋体"/>
                <w:sz w:val="18"/>
              </w:rPr>
              <w:t>悍铭数据中心</w:t>
            </w:r>
          </w:p>
        </w:tc>
        <w:tc>
          <w:tcPr>
            <w:tcW w:type="dxa" w:w="2296"/>
          </w:tcPr>
          <w:p>
            <w:pPr>
              <w:spacing w:after="40" w:before="40"/>
              <w:jc w:val="left"/>
            </w:pPr>
            <w:r>
              <w:rPr>
                <w:rFonts w:ascii="Times New Roman" w:hAnsi="Times New Roman" w:eastAsia="宋体"/>
                <w:b/>
                <w:sz w:val="18"/>
              </w:rPr>
              <w:t>¥265,000/月</w:t>
            </w:r>
          </w:p>
        </w:tc>
        <w:tc>
          <w:tcPr>
            <w:tcW w:type="dxa" w:w="2296"/>
          </w:tcPr>
          <w:p>
            <w:pPr>
              <w:spacing w:after="40" w:before="40"/>
              <w:jc w:val="left"/>
            </w:pPr>
            <w:r>
              <w:rPr>
                <w:rFonts w:ascii="Times New Roman" w:hAnsi="Times New Roman" w:eastAsia="宋体"/>
                <w:sz w:val="18"/>
              </w:rPr>
              <w:t>8×B300、2.3TB HBM、3TB DDR5、64TB NVMe、100M 独享带宽、云南昆明 T3+ 全液冷、7×24 驻场</w:t>
            </w:r>
          </w:p>
        </w:tc>
        <w:tc>
          <w:tcPr>
            <w:tcW w:type="dxa" w:w="2296"/>
          </w:tcPr>
          <w:p>
            <w:pPr>
              <w:spacing w:after="40" w:before="40"/>
              <w:jc w:val="left"/>
            </w:pPr>
            <w:r>
              <w:rPr>
                <w:rFonts w:ascii="Times New Roman" w:hAnsi="Times New Roman" w:eastAsia="宋体"/>
                <w:sz w:val="18"/>
              </w:rPr>
              <w:t>&lt;https://www.hanming.com/b300&gt;</w:t>
            </w:r>
          </w:p>
        </w:tc>
      </w:tr>
      <w:tr>
        <w:tc>
          <w:tcPr>
            <w:tcW w:type="dxa" w:w="2296"/>
            <w:shd w:val="clear" w:color="auto" w:fill="F7F8FA"/>
          </w:tcPr>
          <w:p>
            <w:pPr>
              <w:spacing w:after="40" w:before="40"/>
              <w:jc w:val="left"/>
            </w:pPr>
            <w:r>
              <w:rPr>
                <w:rFonts w:ascii="Times New Roman" w:hAnsi="Times New Roman" w:eastAsia="宋体"/>
                <w:sz w:val="18"/>
              </w:rPr>
              <w:t>猿界算力</w:t>
            </w:r>
          </w:p>
        </w:tc>
        <w:tc>
          <w:tcPr>
            <w:tcW w:type="dxa" w:w="2296"/>
            <w:shd w:val="clear" w:color="auto" w:fill="F7F8FA"/>
          </w:tcPr>
          <w:p>
            <w:pPr>
              <w:spacing w:after="40" w:before="40"/>
              <w:jc w:val="left"/>
            </w:pPr>
            <w:r>
              <w:rPr>
                <w:rFonts w:ascii="Times New Roman" w:hAnsi="Times New Roman" w:eastAsia="宋体"/>
                <w:b/>
                <w:sz w:val="18"/>
              </w:rPr>
              <w:t>¥188,000/月</w:t>
            </w:r>
          </w:p>
        </w:tc>
        <w:tc>
          <w:tcPr>
            <w:tcW w:type="dxa" w:w="2296"/>
            <w:shd w:val="clear" w:color="auto" w:fill="F7F8FA"/>
          </w:tcPr>
          <w:p>
            <w:pPr>
              <w:spacing w:after="40" w:before="40"/>
              <w:jc w:val="left"/>
            </w:pPr>
            <w:r>
              <w:rPr>
                <w:rFonts w:ascii="Times New Roman" w:hAnsi="Times New Roman" w:eastAsia="宋体"/>
                <w:sz w:val="18"/>
              </w:rPr>
              <w:t>B300 8 卡算力租赁挂牌价</w:t>
            </w:r>
          </w:p>
        </w:tc>
        <w:tc>
          <w:tcPr>
            <w:tcW w:type="dxa" w:w="2296"/>
            <w:shd w:val="clear" w:color="auto" w:fill="F7F8FA"/>
          </w:tcPr>
          <w:p>
            <w:pPr>
              <w:spacing w:after="40" w:before="40"/>
              <w:jc w:val="left"/>
            </w:pPr>
            <w:r>
              <w:rPr>
                <w:rFonts w:ascii="Times New Roman" w:hAnsi="Times New Roman" w:eastAsia="宋体"/>
                <w:sz w:val="18"/>
              </w:rPr>
              <w:t>&lt;https://apetops.com/&gt;</w:t>
            </w:r>
          </w:p>
        </w:tc>
      </w:tr>
      <w:tr>
        <w:tc>
          <w:tcPr>
            <w:tcW w:type="dxa" w:w="2296"/>
          </w:tcPr>
          <w:p>
            <w:pPr>
              <w:spacing w:after="40" w:before="40"/>
              <w:jc w:val="left"/>
            </w:pPr>
            <w:r>
              <w:rPr>
                <w:rFonts w:ascii="Times New Roman" w:hAnsi="Times New Roman" w:eastAsia="宋体"/>
                <w:sz w:val="18"/>
              </w:rPr>
              <w:t>至顶网（2026-07-22）</w:t>
            </w:r>
          </w:p>
        </w:tc>
        <w:tc>
          <w:tcPr>
            <w:tcW w:type="dxa" w:w="2296"/>
          </w:tcPr>
          <w:p>
            <w:pPr>
              <w:spacing w:after="40" w:before="40"/>
              <w:jc w:val="left"/>
            </w:pPr>
            <w:r>
              <w:rPr>
                <w:rFonts w:ascii="Times New Roman" w:hAnsi="Times New Roman" w:eastAsia="宋体"/>
                <w:b/>
                <w:sz w:val="18"/>
              </w:rPr>
              <w:t>¥190,000/月</w:t>
            </w:r>
          </w:p>
        </w:tc>
        <w:tc>
          <w:tcPr>
            <w:tcW w:type="dxa" w:w="2296"/>
          </w:tcPr>
          <w:p>
            <w:pPr>
              <w:spacing w:after="40" w:before="40"/>
              <w:jc w:val="left"/>
            </w:pPr>
            <w:r>
              <w:rPr>
                <w:rFonts w:ascii="Times New Roman" w:hAnsi="Times New Roman" w:eastAsia="宋体"/>
                <w:sz w:val="18"/>
              </w:rPr>
              <w:t>报道称买断价 1450 万元，"月租19万，一年228万"</w:t>
            </w:r>
          </w:p>
        </w:tc>
        <w:tc>
          <w:tcPr>
            <w:tcW w:type="dxa" w:w="2296"/>
          </w:tcPr>
          <w:p>
            <w:pPr>
              <w:spacing w:after="40" w:before="40"/>
              <w:jc w:val="left"/>
            </w:pPr>
            <w:r>
              <w:rPr>
                <w:rFonts w:ascii="Times New Roman" w:hAnsi="Times New Roman" w:eastAsia="宋体"/>
                <w:sz w:val="18"/>
              </w:rPr>
              <w:t>&lt;https://www.zhiding.cn/zd-ai-lab/2026/0722/3194165.shtml&gt;</w:t>
            </w:r>
          </w:p>
        </w:tc>
      </w:tr>
      <w:tr>
        <w:tc>
          <w:tcPr>
            <w:tcW w:type="dxa" w:w="2296"/>
            <w:shd w:val="clear" w:color="auto" w:fill="F7F8FA"/>
          </w:tcPr>
          <w:p>
            <w:pPr>
              <w:spacing w:after="40" w:before="40"/>
              <w:jc w:val="left"/>
            </w:pPr>
            <w:r>
              <w:rPr>
                <w:rFonts w:ascii="Times New Roman" w:hAnsi="Times New Roman" w:eastAsia="宋体"/>
                <w:sz w:val="18"/>
              </w:rPr>
              <w:t>星宇智算</w:t>
            </w:r>
          </w:p>
        </w:tc>
        <w:tc>
          <w:tcPr>
            <w:tcW w:type="dxa" w:w="2296"/>
            <w:shd w:val="clear" w:color="auto" w:fill="F7F8FA"/>
          </w:tcPr>
          <w:p>
            <w:pPr>
              <w:spacing w:after="40" w:before="40"/>
              <w:jc w:val="left"/>
            </w:pPr>
            <w:r>
              <w:rPr>
                <w:rFonts w:ascii="Times New Roman" w:hAnsi="Times New Roman" w:eastAsia="宋体"/>
                <w:b/>
                <w:sz w:val="18"/>
              </w:rPr>
              <w:t>¥110,000–135,000/月</w:t>
            </w:r>
          </w:p>
        </w:tc>
        <w:tc>
          <w:tcPr>
            <w:tcW w:type="dxa" w:w="2296"/>
            <w:shd w:val="clear" w:color="auto" w:fill="F7F8FA"/>
          </w:tcPr>
          <w:p>
            <w:pPr>
              <w:spacing w:after="40" w:before="40"/>
              <w:jc w:val="left"/>
            </w:pPr>
            <w:r>
              <w:rPr>
                <w:rFonts w:ascii="Times New Roman" w:hAnsi="Times New Roman" w:eastAsia="宋体"/>
                <w:sz w:val="18"/>
              </w:rPr>
              <w:t>国内月租区间；长协 1 年 11.5 万、3 年 10.8 万、5 年 10.2 万</w:t>
            </w:r>
          </w:p>
        </w:tc>
        <w:tc>
          <w:tcPr>
            <w:tcW w:type="dxa" w:w="2296"/>
            <w:shd w:val="clear" w:color="auto" w:fill="F7F8FA"/>
          </w:tcPr>
          <w:p>
            <w:pPr>
              <w:spacing w:after="40" w:before="40"/>
              <w:jc w:val="left"/>
            </w:pPr>
            <w:r>
              <w:rPr>
                <w:rFonts w:ascii="Times New Roman" w:hAnsi="Times New Roman" w:eastAsia="宋体"/>
                <w:sz w:val="18"/>
              </w:rPr>
              <w:t>&lt;https://www.starverse-ai.com/guide/archives/7697&gt;</w:t>
            </w:r>
          </w:p>
        </w:tc>
      </w:tr>
      <w:tr>
        <w:tc>
          <w:tcPr>
            <w:tcW w:type="dxa" w:w="2296"/>
          </w:tcPr>
          <w:p>
            <w:pPr>
              <w:spacing w:after="40" w:before="40"/>
              <w:jc w:val="left"/>
            </w:pPr>
            <w:r>
              <w:rPr>
                <w:rFonts w:ascii="Times New Roman" w:hAnsi="Times New Roman" w:eastAsia="宋体"/>
                <w:sz w:val="18"/>
              </w:rPr>
              <w:t>雪球产业调研（2026-05-21）</w:t>
            </w:r>
          </w:p>
        </w:tc>
        <w:tc>
          <w:tcPr>
            <w:tcW w:type="dxa" w:w="2296"/>
          </w:tcPr>
          <w:p>
            <w:pPr>
              <w:spacing w:after="40" w:before="40"/>
              <w:jc w:val="left"/>
            </w:pPr>
            <w:r>
              <w:rPr>
                <w:rFonts w:ascii="Times New Roman" w:hAnsi="Times New Roman" w:eastAsia="宋体"/>
                <w:b/>
                <w:sz w:val="18"/>
              </w:rPr>
              <w:t>¥150,000/月</w:t>
            </w:r>
            <w:r>
              <w:rPr>
                <w:rFonts w:ascii="Times New Roman" w:hAnsi="Times New Roman" w:eastAsia="宋体"/>
                <w:sz w:val="18"/>
              </w:rPr>
              <w:t>（长单）；小厂报价 20–21 万</w:t>
            </w:r>
          </w:p>
        </w:tc>
        <w:tc>
          <w:tcPr>
            <w:tcW w:type="dxa" w:w="2296"/>
          </w:tcPr>
          <w:p>
            <w:pPr>
              <w:spacing w:after="40" w:before="40"/>
              <w:jc w:val="left"/>
            </w:pPr>
            <w:r>
              <w:rPr>
                <w:rFonts w:ascii="Times New Roman" w:hAnsi="Times New Roman" w:eastAsia="宋体"/>
                <w:sz w:val="18"/>
              </w:rPr>
              <w:t>另载 Nebius 海外 B300 提价至 $4.3/小时，折合约 21.2 万元/月</w:t>
            </w:r>
          </w:p>
        </w:tc>
        <w:tc>
          <w:tcPr>
            <w:tcW w:type="dxa" w:w="2296"/>
          </w:tcPr>
          <w:p>
            <w:pPr>
              <w:spacing w:after="40" w:before="40"/>
              <w:jc w:val="left"/>
            </w:pPr>
            <w:r>
              <w:rPr>
                <w:rFonts w:ascii="Times New Roman" w:hAnsi="Times New Roman" w:eastAsia="宋体"/>
                <w:sz w:val="18"/>
              </w:rPr>
              <w:t>&lt;https://xueqiu.com/3576712780/390638817&gt;</w:t>
            </w:r>
          </w:p>
        </w:tc>
      </w:tr>
    </w:tbl>
    <w:p>
      <w:pPr>
        <w:spacing w:after="80"/>
      </w:pPr>
    </w:p>
    <w:p>
      <w:pPr>
        <w:spacing w:after="120" w:line="324" w:lineRule="auto"/>
      </w:pPr>
      <w:r>
        <w:rPr>
          <w:rFonts w:ascii="Times New Roman" w:hAnsi="Times New Roman" w:eastAsia="宋体"/>
          <w:b/>
          <w:sz w:val="21"/>
        </w:rPr>
        <w:t>已观测区间：¥102,000（5 年长协）– ¥265,000（现货高配）。现货/短租报价中位数约 ¥190,000。</w:t>
      </w:r>
    </w:p>
    <w:p>
      <w:pPr>
        <w:spacing w:after="120" w:line="324" w:lineRule="auto"/>
      </w:pPr>
      <w:r>
        <w:rPr>
          <w:rFonts w:ascii="Times New Roman" w:hAnsi="Times New Roman" w:eastAsia="宋体"/>
          <w:b/>
          <w:sz w:val="21"/>
        </w:rPr>
        <w:t>对本项目的判定</w:t>
      </w:r>
      <w:r>
        <w:rPr>
          <w:rFonts w:ascii="Times New Roman" w:hAnsi="Times New Roman" w:eastAsia="宋体"/>
          <w:sz w:val="21"/>
        </w:rPr>
        <w:t xml:space="preserve">：本项目给定租金 </w:t>
      </w:r>
      <w:r>
        <w:rPr>
          <w:rFonts w:ascii="Times New Roman" w:hAnsi="Times New Roman" w:eastAsia="宋体"/>
          <w:b/>
          <w:sz w:val="21"/>
        </w:rPr>
        <w:t>¥350,000/月</w:t>
      </w:r>
      <w:r>
        <w:rPr>
          <w:rFonts w:ascii="Times New Roman" w:hAnsi="Times New Roman" w:eastAsia="宋体"/>
          <w:sz w:val="21"/>
        </w:rPr>
        <w:t>，高于上述</w:t>
      </w:r>
      <w:r>
        <w:rPr>
          <w:rFonts w:ascii="Times New Roman" w:hAnsi="Times New Roman" w:eastAsia="宋体"/>
          <w:b/>
          <w:sz w:val="21"/>
        </w:rPr>
        <w:t>全部</w:t>
      </w:r>
      <w:r>
        <w:rPr>
          <w:rFonts w:ascii="Times New Roman" w:hAnsi="Times New Roman" w:eastAsia="宋体"/>
          <w:sz w:val="21"/>
        </w:rPr>
        <w:t xml:space="preserve">公开报价，约为现货中位数 19 万的 </w:t>
      </w:r>
      <w:r>
        <w:rPr>
          <w:rFonts w:ascii="Times New Roman" w:hAnsi="Times New Roman" w:eastAsia="宋体"/>
          <w:b/>
          <w:sz w:val="21"/>
        </w:rPr>
        <w:t>1.84 倍</w:t>
      </w:r>
      <w:r>
        <w:rPr>
          <w:rFonts w:ascii="Times New Roman" w:hAnsi="Times New Roman" w:eastAsia="宋体"/>
          <w:sz w:val="21"/>
        </w:rPr>
        <w:t xml:space="preserve">，为 3 年长协 10.8 万的 </w:t>
      </w:r>
      <w:r>
        <w:rPr>
          <w:rFonts w:ascii="Times New Roman" w:hAnsi="Times New Roman" w:eastAsia="宋体"/>
          <w:b/>
          <w:sz w:val="21"/>
        </w:rPr>
        <w:t>3.24 倍</w:t>
      </w:r>
      <w:r>
        <w:rPr>
          <w:rFonts w:ascii="Times New Roman" w:hAnsi="Times New Roman" w:eastAsia="宋体"/>
          <w:sz w:val="21"/>
        </w:rPr>
        <w:t>。此差额将在模型中以租金五档敏感性量化。</w:t>
      </w:r>
    </w:p>
    <w:p>
      <w:pPr>
        <w:pStyle w:val="Heading2"/>
        <w:keepNext/>
        <w:spacing w:before="320" w:after="120"/>
      </w:pPr>
      <w:r>
        <w:rPr>
          <w:rFonts w:ascii="Segoe UI" w:hAnsi="Segoe UI" w:eastAsia="微软雅黑"/>
          <w:b/>
          <w:color w:val="1F3B63"/>
          <w:sz w:val="30"/>
        </w:rPr>
        <w:t>S-11 出口管制与灰色渠道现状</w:t>
      </w:r>
    </w:p>
    <w:p>
      <w:pPr>
        <w:spacing w:after="120" w:line="324" w:lineRule="auto"/>
      </w:pPr>
      <w:r>
        <w:rPr>
          <w:rFonts w:ascii="Times New Roman" w:hAnsi="Times New Roman" w:eastAsia="宋体"/>
          <w:sz w:val="21"/>
        </w:rPr>
        <w:t>来源：路透社经 MarketScreener 转载（2026-04-30）&lt;https://www.marketscreener.com/news/prices-of-nvidia-s-b300-server-at-1-million-in-china-on-us-curbs-sources-say-ce7f58dbdb81f625&gt;；The Business Times 中文版同源报道。</w:t>
      </w:r>
    </w:p>
    <w:p>
      <w:pPr>
        <w:spacing w:after="120" w:line="324" w:lineRule="auto"/>
      </w:pPr>
      <w:r>
        <w:rPr>
          <w:rFonts w:ascii="Times New Roman" w:hAnsi="Times New Roman" w:eastAsia="宋体"/>
          <w:sz w:val="21"/>
        </w:rPr>
        <w:t>原文要点：</w:t>
      </w:r>
    </w:p>
    <w:p>
      <w:pPr>
        <w:spacing w:before="80" w:after="160"/>
        <w:ind w:left="454"/>
        <w:shd w:val="clear" w:color="auto" w:fill="F7F7F9"/>
      </w:pPr>
      <w:r>
        <w:rPr>
          <w:rFonts w:ascii="Times New Roman" w:hAnsi="Times New Roman" w:eastAsia="宋体"/>
          <w:i/>
          <w:sz w:val="20"/>
        </w:rPr>
        <w:t>Strong demand for AI computing equipment in China has nearly doubled prices for Nvidia's B300 servers to about 7 million yuan ($1 million) each, industry sources said, as a crackdown on chip smuggling dries up black-market supply.</w:t>
      </w:r>
    </w:p>
    <w:p>
      <w:pPr>
        <w:spacing w:after="120" w:line="324" w:lineRule="auto"/>
      </w:pPr>
      <w:r>
        <w:rPr>
          <w:rFonts w:ascii="Times New Roman" w:hAnsi="Times New Roman" w:eastAsia="宋体"/>
          <w:sz w:val="21"/>
        </w:rPr>
        <w:t>英伟达官方回应原文：</w:t>
      </w:r>
    </w:p>
    <w:p>
      <w:pPr>
        <w:spacing w:before="80" w:after="160"/>
        <w:ind w:left="454"/>
        <w:shd w:val="clear" w:color="auto" w:fill="F7F7F9"/>
      </w:pPr>
      <w:r>
        <w:rPr>
          <w:rFonts w:ascii="Times New Roman" w:hAnsi="Times New Roman" w:eastAsia="宋体"/>
          <w:i/>
          <w:sz w:val="20"/>
        </w:rPr>
        <w:t xml:space="preserve">Nvidia said the B300 was restricted from sale in China, and its partners needed to be committed to strict compliance. "As systems become increasingly large and complex, unlawful diversion is a recipe for failure... </w:t>
      </w:r>
      <w:r>
        <w:rPr>
          <w:rFonts w:ascii="Times New Roman" w:hAnsi="Times New Roman" w:eastAsia="宋体"/>
          <w:b/>
          <w:i/>
          <w:sz w:val="20"/>
        </w:rPr>
        <w:t>Nvidia does not provide any service or support for such systems</w:t>
      </w:r>
      <w:r>
        <w:rPr>
          <w:rFonts w:ascii="Times New Roman" w:hAnsi="Times New Roman" w:eastAsia="宋体"/>
          <w:i/>
          <w:sz w:val="20"/>
        </w:rPr>
        <w:t>, and the enforcement mechanisms are rigorous and effective."</w:t>
      </w:r>
    </w:p>
    <w:p>
      <w:pPr>
        <w:spacing w:after="120" w:line="324" w:lineRule="auto"/>
      </w:pPr>
      <w:r>
        <w:rPr>
          <w:rFonts w:ascii="Times New Roman" w:hAnsi="Times New Roman" w:eastAsia="宋体"/>
          <w:sz w:val="21"/>
        </w:rPr>
        <w:t>价格演变：2025 年底约 400 万元 → 2026 年 4 月约 700 万元，涨幅近一倍；美国本土标价约 55 万美元。涨价直接诱因为 2026 年 3 月美国起诉 Supermicro 联合创始人 Yih-Shyan "Wally" Liaw，指控其将约 25 亿美元含受管制 Blackwell 芯片的服务器经东南亚中转公司转售。</w:t>
      </w:r>
    </w:p>
    <w:p>
      <w:pPr>
        <w:spacing w:after="120" w:line="324" w:lineRule="auto"/>
      </w:pPr>
      <w:r>
        <w:rPr>
          <w:rFonts w:ascii="Times New Roman" w:hAnsi="Times New Roman" w:eastAsia="宋体"/>
          <w:sz w:val="21"/>
        </w:rPr>
        <w:t>监管现状：</w:t>
      </w:r>
    </w:p>
    <w:p>
      <w:pPr>
        <w:pStyle w:val="ListBullet"/>
        <w:spacing w:after="60" w:line="312" w:lineRule="auto"/>
        <w:ind w:left="425"/>
      </w:pPr>
      <w:r>
        <w:rPr>
          <w:rFonts w:ascii="Times New Roman" w:hAnsi="Times New Roman" w:eastAsia="宋体"/>
          <w:sz w:val="21"/>
        </w:rPr>
        <w:t>BIS 2026-01-15 终局规则：H200 与 MI325X 由「推定拒绝」改为「逐案审查」（附 25% 关税、50% 数量上限、第三方检测、严格 KYC）；</w:t>
      </w:r>
      <w:r>
        <w:rPr>
          <w:rFonts w:ascii="Times New Roman" w:hAnsi="Times New Roman" w:eastAsia="宋体"/>
          <w:b/>
          <w:sz w:val="21"/>
        </w:rPr>
        <w:t>B200/Blackwell 级维持推定拒绝</w:t>
      </w:r>
      <w:r>
        <w:rPr>
          <w:rFonts w:ascii="Times New Roman" w:hAnsi="Times New Roman" w:eastAsia="宋体"/>
          <w:sz w:val="21"/>
        </w:rPr>
        <w:t>，预计在美国本土发布后 18–24 个月内不得对华出口。来源：Introl &lt;https://introl.com/blog/bis-export-policy-h200-mi325x-china-case-by-case-2026&gt;</w:t>
      </w:r>
    </w:p>
    <w:p>
      <w:pPr>
        <w:pStyle w:val="ListBullet"/>
        <w:spacing w:after="60" w:line="312" w:lineRule="auto"/>
        <w:ind w:left="425"/>
      </w:pPr>
      <w:r>
        <w:rPr>
          <w:rFonts w:ascii="Times New Roman" w:hAnsi="Times New Roman" w:eastAsia="宋体"/>
          <w:sz w:val="21"/>
        </w:rPr>
        <w:t>BIS 2026-05-31 指引：</w:t>
      </w:r>
      <w:r>
        <w:rPr>
          <w:rFonts w:ascii="Times New Roman" w:hAnsi="Times New Roman" w:eastAsia="宋体"/>
          <w:b/>
          <w:sz w:val="21"/>
        </w:rPr>
        <w:t>只要实体总部或其最终母公司注册在 D:5 国家组（含中国）或澳门，即使接收方实体位于新加坡、阿联酋、马来西亚等第三国，仍需出口许可证。</w:t>
      </w:r>
      <w:r>
        <w:rPr>
          <w:rFonts w:ascii="Times New Roman" w:hAnsi="Times New Roman" w:eastAsia="宋体"/>
          <w:sz w:val="21"/>
        </w:rPr>
        <w:t xml:space="preserve"> 来源：Greenberg Traurig &lt;https://www.gtlaw.com/en/insights/2026/6/enforcement-pause-has-limits-bis-clarifies-ongoing-license-requirement-for-advanced-computing-items-to-china-linked-entities&gt;</w:t>
      </w:r>
    </w:p>
    <w:p>
      <w:pPr>
        <w:pStyle w:val="ListBullet"/>
        <w:spacing w:after="60" w:line="312" w:lineRule="auto"/>
        <w:ind w:left="425"/>
      </w:pPr>
      <w:r>
        <w:rPr>
          <w:rFonts w:ascii="Times New Roman" w:hAnsi="Times New Roman" w:eastAsia="宋体"/>
          <w:sz w:val="21"/>
        </w:rPr>
        <w:t>美国众议院以 369-22 通过 Remote Access Security Act，旨在堵住「云 GPU 远程租用」绕道。来源：同 Introl 文。</w:t>
      </w:r>
    </w:p>
    <w:p>
      <w:pPr>
        <w:spacing w:after="120" w:line="324" w:lineRule="auto"/>
      </w:pPr>
      <w:r>
        <w:rPr>
          <w:rFonts w:ascii="Times New Roman" w:hAnsi="Times New Roman" w:eastAsia="宋体"/>
          <w:b/>
          <w:sz w:val="21"/>
        </w:rPr>
        <w:t>对本项目的判定</w:t>
      </w:r>
      <w:r>
        <w:rPr>
          <w:rFonts w:ascii="Times New Roman" w:hAnsi="Times New Roman" w:eastAsia="宋体"/>
          <w:sz w:val="21"/>
        </w:rPr>
        <w:t>：境内可租到的 B300 必然来自非官方渠道。承租方在中国境内租用算力本身不违反中国法律，但需如实认知三项后果：(1) 英伟达明确不提供任何服务与支持，无保修、无驱动支持；(2) 供应链受查处影响，存在服务中断风险；(3) 上述 BIS 指引意味着「换到境外租」对中国总部实体同样受限，并非规避路径。本报告将其建模为月度中断危险率，见风险章。</w:t>
      </w:r>
    </w:p>
    <w:p>
      <w:pPr>
        <w:pStyle w:val="Heading2"/>
        <w:keepNext/>
        <w:spacing w:before="320" w:after="120"/>
      </w:pPr>
      <w:r>
        <w:rPr>
          <w:rFonts w:ascii="Segoe UI" w:hAnsi="Segoe UI" w:eastAsia="微软雅黑"/>
          <w:b/>
          <w:color w:val="1F3B63"/>
          <w:sz w:val="30"/>
        </w:rPr>
        <w:t>S-12 汇率</w:t>
      </w:r>
    </w:p>
    <w:p>
      <w:pPr>
        <w:spacing w:after="120" w:line="324" w:lineRule="auto"/>
      </w:pPr>
      <w:r>
        <w:rPr>
          <w:rFonts w:ascii="Times New Roman" w:hAnsi="Times New Roman" w:eastAsia="宋体"/>
          <w:sz w:val="21"/>
        </w:rPr>
        <w:t xml:space="preserve">来源：中国外汇交易中心受权公布，2026-08-04 人民币对美元汇率中间价 </w:t>
      </w:r>
      <w:r>
        <w:rPr>
          <w:rFonts w:ascii="Times New Roman" w:hAnsi="Times New Roman" w:eastAsia="宋体"/>
          <w:b/>
          <w:sz w:val="21"/>
        </w:rPr>
        <w:t>1 美元 = 6.7917 元人民币</w:t>
      </w:r>
      <w:r>
        <w:rPr>
          <w:rFonts w:ascii="Times New Roman" w:hAnsi="Times New Roman" w:eastAsia="宋体"/>
          <w:sz w:val="21"/>
        </w:rPr>
        <w:t>（较前一交易日下调 19 个基点；8-03 为 6.7898，7-31 为 6.7894）。链接：&lt;http://news.cnfol.com/zhengquanyaowen/20260804/32325212.shtml&gt;；官方发布渠道 &lt;https://www.chinamoney.com.cn/chinese/bkccpr/&gt;</w:t>
      </w:r>
    </w:p>
    <w:p>
      <w:pPr>
        <w:spacing w:after="120" w:line="324" w:lineRule="auto"/>
      </w:pPr>
      <w:r>
        <w:rPr>
          <w:rFonts w:ascii="Times New Roman" w:hAnsi="Times New Roman" w:eastAsia="宋体"/>
          <w:b/>
          <w:sz w:val="21"/>
        </w:rPr>
        <w:t>关键性</w:t>
      </w:r>
      <w:r>
        <w:rPr>
          <w:rFonts w:ascii="Times New Roman" w:hAnsi="Times New Roman" w:eastAsia="宋体"/>
          <w:sz w:val="21"/>
        </w:rPr>
        <w:t>：本项目收入以美元计价（token 按美元定价），成本以人民币计价（租金）。人民币升值直接压缩利润。当前 6.7917 显著低于市场惯用的 7.1–7.3 假设，若沿用旧汇率会</w:t>
      </w:r>
      <w:r>
        <w:rPr>
          <w:rFonts w:ascii="Times New Roman" w:hAnsi="Times New Roman" w:eastAsia="宋体"/>
          <w:b/>
          <w:sz w:val="21"/>
        </w:rPr>
        <w:t>高估人民币收入约 4.5%</w:t>
      </w:r>
      <w:r>
        <w:rPr>
          <w:rFonts w:ascii="Times New Roman" w:hAnsi="Times New Roman" w:eastAsia="宋体"/>
          <w:sz w:val="21"/>
        </w:rPr>
        <w:t>。模型将汇率列为敏感性变量。</w:t>
      </w:r>
    </w:p>
    <w:p>
      <w:pPr>
        <w:spacing w:before="40" w:after="160"/>
        <w:pBdr>
          <w:bottom w:val="single" w:sz="6" w:color="D0D0D0"/>
        </w:pBdr>
      </w:pPr>
    </w:p>
    <w:p>
      <w:pPr>
        <w:pStyle w:val="Heading2"/>
        <w:keepNext/>
        <w:spacing w:before="320" w:after="120"/>
      </w:pPr>
      <w:r>
        <w:rPr>
          <w:rFonts w:ascii="Segoe UI" w:hAnsi="Segoe UI" w:eastAsia="微软雅黑"/>
          <w:b/>
          <w:color w:val="1F3B63"/>
          <w:sz w:val="30"/>
        </w:rPr>
        <w:t>矛盾与取舍</w:t>
      </w:r>
    </w:p>
    <w:p>
      <w:pPr>
        <w:spacing w:after="120" w:line="324" w:lineRule="auto"/>
      </w:pPr>
      <w:r>
        <w:rPr>
          <w:rFonts w:ascii="Times New Roman" w:hAnsi="Times New Roman" w:eastAsia="宋体"/>
          <w:sz w:val="21"/>
        </w:rPr>
        <w:t>诚实记录调研中发现的互相矛盾之处，以及本报告的取舍理由。</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color="auto" w:fill="1F3B63"/>
          </w:tcPr>
          <w:p>
            <w:pPr>
              <w:spacing w:after="40" w:before="40"/>
              <w:jc w:val="center"/>
            </w:pPr>
            <w:r>
              <w:rPr>
                <w:rFonts w:ascii="Segoe UI" w:hAnsi="Segoe UI" w:eastAsia="微软雅黑"/>
                <w:b/>
                <w:color w:val="FFFFFF"/>
                <w:sz w:val="18"/>
              </w:rPr>
              <w:t>#</w:t>
            </w:r>
          </w:p>
        </w:tc>
        <w:tc>
          <w:tcPr>
            <w:tcW w:type="dxa" w:w="3061"/>
            <w:shd w:val="clear" w:color="auto" w:fill="1F3B63"/>
          </w:tcPr>
          <w:p>
            <w:pPr>
              <w:spacing w:after="40" w:before="40"/>
              <w:jc w:val="center"/>
            </w:pPr>
            <w:r>
              <w:rPr>
                <w:rFonts w:ascii="Segoe UI" w:hAnsi="Segoe UI" w:eastAsia="微软雅黑"/>
                <w:b/>
                <w:color w:val="FFFFFF"/>
                <w:sz w:val="18"/>
              </w:rPr>
              <w:t>矛盾</w:t>
            </w:r>
          </w:p>
        </w:tc>
        <w:tc>
          <w:tcPr>
            <w:tcW w:type="dxa" w:w="3061"/>
            <w:shd w:val="clear" w:color="auto" w:fill="1F3B63"/>
          </w:tcPr>
          <w:p>
            <w:pPr>
              <w:spacing w:after="40" w:before="40"/>
              <w:jc w:val="center"/>
            </w:pPr>
            <w:r>
              <w:rPr>
                <w:rFonts w:ascii="Segoe UI" w:hAnsi="Segoe UI" w:eastAsia="微软雅黑"/>
                <w:b/>
                <w:color w:val="FFFFFF"/>
                <w:sz w:val="18"/>
              </w:rPr>
              <w:t>取舍</w:t>
            </w:r>
          </w:p>
        </w:tc>
      </w:tr>
      <w:tr>
        <w:tc>
          <w:tcPr>
            <w:tcW w:type="dxa" w:w="3061"/>
          </w:tcPr>
          <w:p>
            <w:pPr>
              <w:spacing w:after="40" w:before="40"/>
              <w:jc w:val="left"/>
            </w:pPr>
            <w:r>
              <w:rPr>
                <w:rFonts w:ascii="Times New Roman" w:hAnsi="Times New Roman" w:eastAsia="宋体"/>
                <w:sz w:val="18"/>
              </w:rPr>
              <w:t>C-1</w:t>
            </w:r>
          </w:p>
        </w:tc>
        <w:tc>
          <w:tcPr>
            <w:tcW w:type="dxa" w:w="3061"/>
          </w:tcPr>
          <w:p>
            <w:pPr>
              <w:spacing w:after="40" w:before="40"/>
              <w:jc w:val="left"/>
            </w:pPr>
            <w:r>
              <w:rPr>
                <w:rFonts w:ascii="Times New Roman" w:hAnsi="Times New Roman" w:eastAsia="宋体"/>
                <w:sz w:val="18"/>
              </w:rPr>
              <w:t xml:space="preserve">K3 激活参数：官方模型卡为 </w:t>
            </w:r>
            <w:r>
              <w:rPr>
                <w:rFonts w:ascii="Times New Roman" w:hAnsi="Times New Roman" w:eastAsia="宋体"/>
                <w:b/>
                <w:sz w:val="18"/>
              </w:rPr>
              <w:t>104B</w:t>
            </w:r>
            <w:r>
              <w:rPr>
                <w:rFonts w:ascii="Times New Roman" w:hAnsi="Times New Roman" w:eastAsia="宋体"/>
                <w:sz w:val="18"/>
              </w:rPr>
              <w:t>；第三方博客 narenvadapalli.com 称 "37 Billion Active Parameters"。</w:t>
            </w:r>
          </w:p>
        </w:tc>
        <w:tc>
          <w:tcPr>
            <w:tcW w:type="dxa" w:w="3061"/>
          </w:tcPr>
          <w:p>
            <w:pPr>
              <w:spacing w:after="40" w:before="40"/>
              <w:jc w:val="left"/>
            </w:pPr>
            <w:r>
              <w:rPr>
                <w:rFonts w:ascii="Times New Roman" w:hAnsi="Times New Roman" w:eastAsia="宋体"/>
                <w:sz w:val="18"/>
              </w:rPr>
              <w:t>采用官方 104B。第三方数值与「896 专家选 16 + 2 共享、MoE 每专家隐层 3072」的结构推算不符，判定为笔误。</w:t>
            </w:r>
          </w:p>
        </w:tc>
      </w:tr>
      <w:tr>
        <w:tc>
          <w:tcPr>
            <w:tcW w:type="dxa" w:w="3061"/>
            <w:shd w:val="clear" w:color="auto" w:fill="F7F8FA"/>
          </w:tcPr>
          <w:p>
            <w:pPr>
              <w:spacing w:after="40" w:before="40"/>
              <w:jc w:val="left"/>
            </w:pPr>
            <w:r>
              <w:rPr>
                <w:rFonts w:ascii="Times New Roman" w:hAnsi="Times New Roman" w:eastAsia="宋体"/>
                <w:sz w:val="18"/>
              </w:rPr>
              <w:t>C-2</w:t>
            </w:r>
          </w:p>
        </w:tc>
        <w:tc>
          <w:tcPr>
            <w:tcW w:type="dxa" w:w="3061"/>
            <w:shd w:val="clear" w:color="auto" w:fill="F7F8FA"/>
          </w:tcPr>
          <w:p>
            <w:pPr>
              <w:spacing w:after="40" w:before="40"/>
              <w:jc w:val="left"/>
            </w:pPr>
            <w:r>
              <w:rPr>
                <w:rFonts w:ascii="Times New Roman" w:hAnsi="Times New Roman" w:eastAsia="宋体"/>
                <w:sz w:val="18"/>
              </w:rPr>
              <w:t xml:space="preserve">B300 FP8 稠密算力：NVIDIA 官方表为 </w:t>
            </w:r>
            <w:r>
              <w:rPr>
                <w:rFonts w:ascii="Times New Roman" w:hAnsi="Times New Roman" w:eastAsia="宋体"/>
                <w:b/>
                <w:sz w:val="18"/>
              </w:rPr>
              <w:t>5 PFLOPS</w:t>
            </w:r>
            <w:r>
              <w:rPr>
                <w:rFonts w:ascii="Times New Roman" w:hAnsi="Times New Roman" w:eastAsia="宋体"/>
                <w:sz w:val="18"/>
              </w:rPr>
              <w:t>；spheron 与 vast.ai 均称 7 PFLOPS。</w:t>
            </w:r>
          </w:p>
        </w:tc>
        <w:tc>
          <w:tcPr>
            <w:tcW w:type="dxa" w:w="3061"/>
            <w:shd w:val="clear" w:color="auto" w:fill="F7F8FA"/>
          </w:tcPr>
          <w:p>
            <w:pPr>
              <w:spacing w:after="40" w:before="40"/>
              <w:jc w:val="left"/>
            </w:pPr>
            <w:r>
              <w:rPr>
                <w:rFonts w:ascii="Times New Roman" w:hAnsi="Times New Roman" w:eastAsia="宋体"/>
                <w:sz w:val="18"/>
              </w:rPr>
              <w:t>采用官方 5 PFLOPS。本模型的解码环节为访存受限，该参数不影响主结论，仅用于预填能力上界估算。</w:t>
            </w:r>
          </w:p>
        </w:tc>
      </w:tr>
      <w:tr>
        <w:tc>
          <w:tcPr>
            <w:tcW w:type="dxa" w:w="3061"/>
          </w:tcPr>
          <w:p>
            <w:pPr>
              <w:spacing w:after="40" w:before="40"/>
              <w:jc w:val="left"/>
            </w:pPr>
            <w:r>
              <w:rPr>
                <w:rFonts w:ascii="Times New Roman" w:hAnsi="Times New Roman" w:eastAsia="宋体"/>
                <w:sz w:val="18"/>
              </w:rPr>
              <w:t>C-3</w:t>
            </w:r>
          </w:p>
        </w:tc>
        <w:tc>
          <w:tcPr>
            <w:tcW w:type="dxa" w:w="3061"/>
          </w:tcPr>
          <w:p>
            <w:pPr>
              <w:spacing w:after="40" w:before="40"/>
              <w:jc w:val="left"/>
            </w:pPr>
            <w:r>
              <w:rPr>
                <w:rFonts w:ascii="Times New Roman" w:hAnsi="Times New Roman" w:eastAsia="宋体"/>
                <w:sz w:val="18"/>
              </w:rPr>
              <w:t xml:space="preserve">单卡可用显存：标称 288 GB；glennklockwood 称 270 GB 可用；GPUStack 实测可见 </w:t>
            </w:r>
            <w:r>
              <w:rPr>
                <w:rFonts w:ascii="Times New Roman" w:hAnsi="Times New Roman" w:eastAsia="宋体"/>
                <w:b/>
                <w:sz w:val="18"/>
              </w:rPr>
              <w:t>267.69 GiB</w:t>
            </w:r>
            <w:r>
              <w:rPr>
                <w:rFonts w:ascii="Times New Roman" w:hAnsi="Times New Roman" w:eastAsia="宋体"/>
                <w:sz w:val="18"/>
              </w:rPr>
              <w:t>。</w:t>
            </w:r>
          </w:p>
        </w:tc>
        <w:tc>
          <w:tcPr>
            <w:tcW w:type="dxa" w:w="3061"/>
          </w:tcPr>
          <w:p>
            <w:pPr>
              <w:spacing w:after="40" w:before="40"/>
              <w:jc w:val="left"/>
            </w:pPr>
            <w:r>
              <w:rPr>
                <w:rFonts w:ascii="Times New Roman" w:hAnsi="Times New Roman" w:eastAsia="宋体"/>
                <w:sz w:val="18"/>
              </w:rPr>
              <w:t>采用实测 267.69 GiB，最保守。</w:t>
            </w:r>
          </w:p>
        </w:tc>
      </w:tr>
      <w:tr>
        <w:tc>
          <w:tcPr>
            <w:tcW w:type="dxa" w:w="3061"/>
            <w:shd w:val="clear" w:color="auto" w:fill="F7F8FA"/>
          </w:tcPr>
          <w:p>
            <w:pPr>
              <w:spacing w:after="40" w:before="40"/>
              <w:jc w:val="left"/>
            </w:pPr>
            <w:r>
              <w:rPr>
                <w:rFonts w:ascii="Times New Roman" w:hAnsi="Times New Roman" w:eastAsia="宋体"/>
                <w:sz w:val="18"/>
              </w:rPr>
              <w:t>C-4</w:t>
            </w:r>
          </w:p>
        </w:tc>
        <w:tc>
          <w:tcPr>
            <w:tcW w:type="dxa" w:w="3061"/>
            <w:shd w:val="clear" w:color="auto" w:fill="F7F8FA"/>
          </w:tcPr>
          <w:p>
            <w:pPr>
              <w:spacing w:after="40" w:before="40"/>
              <w:jc w:val="left"/>
            </w:pPr>
            <w:r>
              <w:rPr>
                <w:rFonts w:ascii="Times New Roman" w:hAnsi="Times New Roman" w:eastAsia="宋体"/>
                <w:sz w:val="18"/>
              </w:rPr>
              <w:t xml:space="preserve">K3 许可证性质：narenvadapalli 博客称 "Modified Apache-2.0 / Open Access"；许可证原文为自定义 Kimi K3 License，Hugging Face 标记为 </w:t>
            </w:r>
            <w:r>
              <w:rPr>
                <w:rFonts w:ascii="Consolas" w:hAnsi="Consolas" w:eastAsia="Consolas"/>
                <w:sz w:val="17"/>
              </w:rPr>
              <w:t>license:other</w:t>
            </w:r>
            <w:r>
              <w:rPr>
                <w:rFonts w:ascii="Times New Roman" w:hAnsi="Times New Roman" w:eastAsia="宋体"/>
                <w:sz w:val="18"/>
              </w:rPr>
              <w:t>。</w:t>
            </w:r>
          </w:p>
        </w:tc>
        <w:tc>
          <w:tcPr>
            <w:tcW w:type="dxa" w:w="3061"/>
            <w:shd w:val="clear" w:color="auto" w:fill="F7F8FA"/>
          </w:tcPr>
          <w:p>
            <w:pPr>
              <w:spacing w:after="40" w:before="40"/>
              <w:jc w:val="left"/>
            </w:pPr>
            <w:r>
              <w:rPr>
                <w:rFonts w:ascii="Times New Roman" w:hAnsi="Times New Roman" w:eastAsia="宋体"/>
                <w:sz w:val="18"/>
              </w:rPr>
              <w:t>以许可证原文为准，见 S-03。该博客表述错误。</w:t>
            </w:r>
          </w:p>
        </w:tc>
      </w:tr>
      <w:tr>
        <w:tc>
          <w:tcPr>
            <w:tcW w:type="dxa" w:w="3061"/>
          </w:tcPr>
          <w:p>
            <w:pPr>
              <w:spacing w:after="40" w:before="40"/>
              <w:jc w:val="left"/>
            </w:pPr>
            <w:r>
              <w:rPr>
                <w:rFonts w:ascii="Times New Roman" w:hAnsi="Times New Roman" w:eastAsia="宋体"/>
                <w:sz w:val="18"/>
              </w:rPr>
              <w:t>C-5</w:t>
            </w:r>
          </w:p>
        </w:tc>
        <w:tc>
          <w:tcPr>
            <w:tcW w:type="dxa" w:w="3061"/>
          </w:tcPr>
          <w:p>
            <w:pPr>
              <w:spacing w:after="40" w:before="40"/>
              <w:jc w:val="left"/>
            </w:pPr>
            <w:r>
              <w:rPr>
                <w:rFonts w:ascii="Times New Roman" w:hAnsi="Times New Roman" w:eastAsia="宋体"/>
                <w:sz w:val="18"/>
              </w:rPr>
              <w:t>长上下文最优引擎：Openzeka 白皮书结论偏向 vLLM；GPUStack 实测在 200K 时 SGLang 反超。</w:t>
            </w:r>
          </w:p>
        </w:tc>
        <w:tc>
          <w:tcPr>
            <w:tcW w:type="dxa" w:w="3061"/>
          </w:tcPr>
          <w:p>
            <w:pPr>
              <w:spacing w:after="40" w:before="40"/>
              <w:jc w:val="left"/>
            </w:pPr>
            <w:r>
              <w:rPr>
                <w:rFonts w:ascii="Times New Roman" w:hAnsi="Times New Roman" w:eastAsia="宋体"/>
                <w:sz w:val="18"/>
              </w:rPr>
              <w:t>两者测试条件不同（并发数、输入长度、是否启用 DCP），不构成矛盾。模型按上下文长度分段取各自较优实测值，并在敏感性中同时给出较劣值。</w:t>
            </w:r>
          </w:p>
        </w:tc>
      </w:tr>
    </w:tbl>
    <w:p>
      <w:pPr>
        <w:spacing w:after="80"/>
      </w:pPr>
    </w:p>
    <w:p>
      <w:pPr>
        <w:pStyle w:val="Heading2"/>
        <w:keepNext/>
        <w:spacing w:before="320" w:after="120"/>
      </w:pPr>
      <w:r>
        <w:rPr>
          <w:rFonts w:ascii="Segoe UI" w:hAnsi="Segoe UI" w:eastAsia="微软雅黑"/>
          <w:b/>
          <w:color w:val="1F3B63"/>
          <w:sz w:val="30"/>
        </w:rPr>
        <w:t>未能查证、列为假设的参数</w:t>
      </w:r>
    </w:p>
    <w:p>
      <w:pPr>
        <w:spacing w:after="120" w:line="324" w:lineRule="auto"/>
      </w:pPr>
      <w:r>
        <w:rPr>
          <w:rFonts w:ascii="Times New Roman" w:hAnsi="Times New Roman" w:eastAsia="宋体"/>
          <w:sz w:val="21"/>
        </w:rPr>
        <w:t>以下参数缺乏可引用的公开来源，在模型中作为</w:t>
      </w:r>
      <w:r>
        <w:rPr>
          <w:rFonts w:ascii="Times New Roman" w:hAnsi="Times New Roman" w:eastAsia="宋体"/>
          <w:b/>
          <w:sz w:val="21"/>
        </w:rPr>
        <w:t>显式假设</w:t>
      </w:r>
      <w:r>
        <w:rPr>
          <w:rFonts w:ascii="Times New Roman" w:hAnsi="Times New Roman" w:eastAsia="宋体"/>
          <w:sz w:val="21"/>
        </w:rPr>
        <w:t>处理，全部纳入敏感性分析，并在报告中明确标注为推测：</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val="clear" w:color="auto" w:fill="1F3B63"/>
          </w:tcPr>
          <w:p>
            <w:pPr>
              <w:spacing w:after="40" w:before="40"/>
              <w:jc w:val="center"/>
            </w:pPr>
            <w:r>
              <w:rPr>
                <w:rFonts w:ascii="Segoe UI" w:hAnsi="Segoe UI" w:eastAsia="微软雅黑"/>
                <w:b/>
                <w:color w:val="FFFFFF"/>
                <w:sz w:val="18"/>
              </w:rPr>
              <w:t>参数</w:t>
            </w:r>
          </w:p>
        </w:tc>
        <w:tc>
          <w:tcPr>
            <w:tcW w:type="dxa" w:w="3061"/>
            <w:shd w:val="clear" w:color="auto" w:fill="1F3B63"/>
          </w:tcPr>
          <w:p>
            <w:pPr>
              <w:spacing w:after="40" w:before="40"/>
              <w:jc w:val="center"/>
            </w:pPr>
            <w:r>
              <w:rPr>
                <w:rFonts w:ascii="Segoe UI" w:hAnsi="Segoe UI" w:eastAsia="微软雅黑"/>
                <w:b/>
                <w:color w:val="FFFFFF"/>
                <w:sz w:val="18"/>
              </w:rPr>
              <w:t>假设值</w:t>
            </w:r>
          </w:p>
        </w:tc>
        <w:tc>
          <w:tcPr>
            <w:tcW w:type="dxa" w:w="3061"/>
            <w:shd w:val="clear" w:color="auto" w:fill="1F3B63"/>
          </w:tcPr>
          <w:p>
            <w:pPr>
              <w:spacing w:after="40" w:before="40"/>
              <w:jc w:val="center"/>
            </w:pPr>
            <w:r>
              <w:rPr>
                <w:rFonts w:ascii="Segoe UI" w:hAnsi="Segoe UI" w:eastAsia="微软雅黑"/>
                <w:b/>
                <w:color w:val="FFFFFF"/>
                <w:sz w:val="18"/>
              </w:rPr>
              <w:t>依据与不确定性</w:t>
            </w:r>
          </w:p>
        </w:tc>
      </w:tr>
      <w:tr>
        <w:tc>
          <w:tcPr>
            <w:tcW w:type="dxa" w:w="3061"/>
          </w:tcPr>
          <w:p>
            <w:pPr>
              <w:spacing w:after="40" w:before="40"/>
              <w:jc w:val="left"/>
            </w:pPr>
            <w:r>
              <w:rPr>
                <w:rFonts w:ascii="Times New Roman" w:hAnsi="Times New Roman" w:eastAsia="宋体"/>
                <w:sz w:val="18"/>
              </w:rPr>
              <w:t>押金月数</w:t>
            </w:r>
          </w:p>
        </w:tc>
        <w:tc>
          <w:tcPr>
            <w:tcW w:type="dxa" w:w="3061"/>
          </w:tcPr>
          <w:p>
            <w:pPr>
              <w:spacing w:after="40" w:before="40"/>
              <w:jc w:val="left"/>
            </w:pPr>
            <w:r>
              <w:rPr>
                <w:rFonts w:ascii="Times New Roman" w:hAnsi="Times New Roman" w:eastAsia="宋体"/>
                <w:sz w:val="18"/>
              </w:rPr>
              <w:t>2 个月租金</w:t>
            </w:r>
          </w:p>
        </w:tc>
        <w:tc>
          <w:tcPr>
            <w:tcW w:type="dxa" w:w="3061"/>
          </w:tcPr>
          <w:p>
            <w:pPr>
              <w:spacing w:after="40" w:before="40"/>
              <w:jc w:val="left"/>
            </w:pPr>
            <w:r>
              <w:rPr>
                <w:rFonts w:ascii="Times New Roman" w:hAnsi="Times New Roman" w:eastAsia="宋体"/>
                <w:sz w:val="18"/>
              </w:rPr>
              <w:t>国内 IDC 常见商务条款，未获本项目合同文本证实</w:t>
            </w:r>
          </w:p>
        </w:tc>
      </w:tr>
      <w:tr>
        <w:tc>
          <w:tcPr>
            <w:tcW w:type="dxa" w:w="3061"/>
            <w:shd w:val="clear" w:color="auto" w:fill="F7F8FA"/>
          </w:tcPr>
          <w:p>
            <w:pPr>
              <w:spacing w:after="40" w:before="40"/>
              <w:jc w:val="left"/>
            </w:pPr>
            <w:r>
              <w:rPr>
                <w:rFonts w:ascii="Times New Roman" w:hAnsi="Times New Roman" w:eastAsia="宋体"/>
                <w:sz w:val="18"/>
              </w:rPr>
              <w:t>中断月度危险率 h</w:t>
            </w:r>
          </w:p>
        </w:tc>
        <w:tc>
          <w:tcPr>
            <w:tcW w:type="dxa" w:w="3061"/>
            <w:shd w:val="clear" w:color="auto" w:fill="F7F8FA"/>
          </w:tcPr>
          <w:p>
            <w:pPr>
              <w:spacing w:after="40" w:before="40"/>
              <w:jc w:val="left"/>
            </w:pPr>
            <w:r>
              <w:rPr>
                <w:rFonts w:ascii="Times New Roman" w:hAnsi="Times New Roman" w:eastAsia="宋体"/>
                <w:sz w:val="18"/>
              </w:rPr>
              <w:t>0.5% / 1.5% / 3%（三档）</w:t>
            </w:r>
          </w:p>
        </w:tc>
        <w:tc>
          <w:tcPr>
            <w:tcW w:type="dxa" w:w="3061"/>
            <w:shd w:val="clear" w:color="auto" w:fill="F7F8FA"/>
          </w:tcPr>
          <w:p>
            <w:pPr>
              <w:spacing w:after="40" w:before="40"/>
              <w:jc w:val="left"/>
            </w:pPr>
            <w:r>
              <w:rPr>
                <w:rFonts w:ascii="Times New Roman" w:hAnsi="Times New Roman" w:eastAsia="宋体"/>
                <w:sz w:val="18"/>
              </w:rPr>
              <w:t>无公开统计。以 2026 年 3 月查处事件后现货价近乎翻倍作为查处强度的间接证据，取区间而非点估计</w:t>
            </w:r>
          </w:p>
        </w:tc>
      </w:tr>
      <w:tr>
        <w:tc>
          <w:tcPr>
            <w:tcW w:type="dxa" w:w="3061"/>
          </w:tcPr>
          <w:p>
            <w:pPr>
              <w:spacing w:after="40" w:before="40"/>
              <w:jc w:val="left"/>
            </w:pPr>
            <w:r>
              <w:rPr>
                <w:rFonts w:ascii="Times New Roman" w:hAnsi="Times New Roman" w:eastAsia="宋体"/>
                <w:sz w:val="18"/>
              </w:rPr>
              <w:t>利用率爬坡曲线</w:t>
            </w:r>
          </w:p>
        </w:tc>
        <w:tc>
          <w:tcPr>
            <w:tcW w:type="dxa" w:w="3061"/>
          </w:tcPr>
          <w:p>
            <w:pPr>
              <w:spacing w:after="40" w:before="40"/>
              <w:jc w:val="left"/>
            </w:pPr>
            <w:r>
              <w:rPr>
                <w:rFonts w:ascii="Times New Roman" w:hAnsi="Times New Roman" w:eastAsia="宋体"/>
                <w:sz w:val="18"/>
              </w:rPr>
              <w:t>三情景，见模型</w:t>
            </w:r>
          </w:p>
        </w:tc>
        <w:tc>
          <w:tcPr>
            <w:tcW w:type="dxa" w:w="3061"/>
          </w:tcPr>
          <w:p>
            <w:pPr>
              <w:spacing w:after="40" w:before="40"/>
              <w:jc w:val="left"/>
            </w:pPr>
            <w:r>
              <w:rPr>
                <w:rFonts w:ascii="Times New Roman" w:hAnsi="Times New Roman" w:eastAsia="宋体"/>
                <w:sz w:val="18"/>
              </w:rPr>
              <w:t>取决于获客能力，属项目方自身变量，非外部事实</w:t>
            </w:r>
          </w:p>
        </w:tc>
      </w:tr>
      <w:tr>
        <w:tc>
          <w:tcPr>
            <w:tcW w:type="dxa" w:w="3061"/>
            <w:shd w:val="clear" w:color="auto" w:fill="F7F8FA"/>
          </w:tcPr>
          <w:p>
            <w:pPr>
              <w:spacing w:after="40" w:before="40"/>
              <w:jc w:val="left"/>
            </w:pPr>
            <w:r>
              <w:rPr>
                <w:rFonts w:ascii="Times New Roman" w:hAnsi="Times New Roman" w:eastAsia="宋体"/>
                <w:sz w:val="18"/>
              </w:rPr>
              <w:t>年化价格侵蚀率</w:t>
            </w:r>
          </w:p>
        </w:tc>
        <w:tc>
          <w:tcPr>
            <w:tcW w:type="dxa" w:w="3061"/>
            <w:shd w:val="clear" w:color="auto" w:fill="F7F8FA"/>
          </w:tcPr>
          <w:p>
            <w:pPr>
              <w:spacing w:after="40" w:before="40"/>
              <w:jc w:val="left"/>
            </w:pPr>
            <w:r>
              <w:rPr>
                <w:rFonts w:ascii="Times New Roman" w:hAnsi="Times New Roman" w:eastAsia="宋体"/>
                <w:sz w:val="18"/>
              </w:rPr>
              <w:t>0% / 20% / 40%（三档）</w:t>
            </w:r>
          </w:p>
        </w:tc>
        <w:tc>
          <w:tcPr>
            <w:tcW w:type="dxa" w:w="3061"/>
            <w:shd w:val="clear" w:color="auto" w:fill="F7F8FA"/>
          </w:tcPr>
          <w:p>
            <w:pPr>
              <w:spacing w:after="40" w:before="40"/>
              <w:jc w:val="left"/>
            </w:pPr>
            <w:r>
              <w:rPr>
                <w:rFonts w:ascii="Times New Roman" w:hAnsi="Times New Roman" w:eastAsia="宋体"/>
                <w:sz w:val="18"/>
              </w:rPr>
              <w:t>依据 11 家 provider 同价竞争的市场结构定性推断，无历史序列可拟合</w:t>
            </w:r>
          </w:p>
        </w:tc>
      </w:tr>
      <w:tr>
        <w:tc>
          <w:tcPr>
            <w:tcW w:type="dxa" w:w="3061"/>
          </w:tcPr>
          <w:p>
            <w:pPr>
              <w:spacing w:after="40" w:before="40"/>
              <w:jc w:val="left"/>
            </w:pPr>
            <w:r>
              <w:rPr>
                <w:rFonts w:ascii="Times New Roman" w:hAnsi="Times New Roman" w:eastAsia="宋体"/>
                <w:sz w:val="18"/>
              </w:rPr>
              <w:t>支付与结算费率</w:t>
            </w:r>
          </w:p>
        </w:tc>
        <w:tc>
          <w:tcPr>
            <w:tcW w:type="dxa" w:w="3061"/>
          </w:tcPr>
          <w:p>
            <w:pPr>
              <w:spacing w:after="40" w:before="40"/>
              <w:jc w:val="left"/>
            </w:pPr>
            <w:r>
              <w:rPr>
                <w:rFonts w:ascii="Times New Roman" w:hAnsi="Times New Roman" w:eastAsia="宋体"/>
                <w:sz w:val="18"/>
              </w:rPr>
              <w:t>3.9% + $0.40/笔（Creem 记录商户）</w:t>
            </w:r>
          </w:p>
        </w:tc>
        <w:tc>
          <w:tcPr>
            <w:tcW w:type="dxa" w:w="3061"/>
          </w:tcPr>
          <w:p>
            <w:pPr>
              <w:spacing w:after="40" w:before="40"/>
              <w:jc w:val="left"/>
            </w:pPr>
            <w:r>
              <w:rPr>
                <w:rFonts w:ascii="Times New Roman" w:hAnsi="Times New Roman" w:eastAsia="宋体"/>
                <w:sz w:val="18"/>
              </w:rPr>
              <w:t xml:space="preserve">来自本项目已接入的支付通道公开费率，见仓库 </w:t>
            </w:r>
            <w:r>
              <w:rPr>
                <w:rFonts w:ascii="Consolas" w:hAnsi="Consolas" w:eastAsia="Consolas"/>
                <w:sz w:val="17"/>
              </w:rPr>
              <w:t>PAYMENTS_SETUP.md</w:t>
            </w:r>
          </w:p>
        </w:tc>
      </w:tr>
    </w:tbl>
    <w:p>
      <w:pPr>
        <w:spacing w:after="80"/>
      </w:pPr>
    </w:p>
    <w:sectPr w:rsidR="00FC693F" w:rsidRPr="0006063C" w:rsidSect="00034616">
      <w:footerReference w:type="default" r:id="rId9"/>
      <w:pgSz w:w="11906" w:h="16838"/>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0606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