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20"/>
        <w:jc w:val="center"/>
      </w:pPr>
      <w:r>
        <w:rPr>
          <w:rFonts w:ascii="Segoe UI" w:hAnsi="Segoe UI" w:eastAsia="微软雅黑"/>
          <w:b/>
          <w:color w:val="1F3B63"/>
          <w:sz w:val="40"/>
        </w:rPr>
        <w:t>东南亚租赁八卡 B300 自建 Kimi K3 推理并售卖 token 的投资可行性分析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报告日期</w:t>
      </w:r>
      <w:r>
        <w:rPr>
          <w:rFonts w:ascii="Times New Roman" w:hAnsi="Times New Roman" w:eastAsia="宋体"/>
          <w:sz w:val="21"/>
        </w:rPr>
        <w:t xml:space="preserve">：2026-08-05 </w:t>
      </w:r>
      <w:r>
        <w:rPr>
          <w:rFonts w:ascii="Times New Roman" w:hAnsi="Times New Roman" w:eastAsia="宋体"/>
          <w:b/>
          <w:sz w:val="21"/>
        </w:rPr>
        <w:t>分析标的</w:t>
      </w:r>
      <w:r>
        <w:rPr>
          <w:rFonts w:ascii="Times New Roman" w:hAnsi="Times New Roman" w:eastAsia="宋体"/>
          <w:sz w:val="21"/>
        </w:rPr>
        <w:t xml:space="preserve">：在东南亚不受美国 GPU 出口管制的国家，以 </w:t>
      </w:r>
      <w:r>
        <w:rPr>
          <w:rFonts w:ascii="Times New Roman" w:hAnsi="Times New Roman" w:eastAsia="宋体"/>
          <w:b/>
          <w:sz w:val="21"/>
        </w:rPr>
        <w:t>15 万元人民币/月</w:t>
      </w:r>
      <w:r>
        <w:rPr>
          <w:rFonts w:ascii="Times New Roman" w:hAnsi="Times New Roman" w:eastAsia="宋体"/>
          <w:sz w:val="21"/>
        </w:rPr>
        <w:t xml:space="preserve"> 租用一台 8 卡 NVIDIA B300 整机，部署开放权重模型 Kimi K3，通过自建 API 与 OpenRouter 双轨售卖 token </w:t>
      </w:r>
      <w:r>
        <w:rPr>
          <w:rFonts w:ascii="Times New Roman" w:hAnsi="Times New Roman" w:eastAsia="宋体"/>
          <w:b/>
          <w:sz w:val="21"/>
        </w:rPr>
        <w:t>测算口径</w:t>
      </w:r>
      <w:r>
        <w:rPr>
          <w:rFonts w:ascii="Times New Roman" w:hAnsi="Times New Roman" w:eastAsia="宋体"/>
          <w:sz w:val="21"/>
        </w:rPr>
        <w:t xml:space="preserve">：按月支付租金、按月滚动、利润复利再投资，36 个月窗口 + 租约清算期 </w:t>
      </w:r>
      <w:r>
        <w:rPr>
          <w:rFonts w:ascii="Times New Roman" w:hAnsi="Times New Roman" w:eastAsia="宋体"/>
          <w:b/>
          <w:sz w:val="21"/>
        </w:rPr>
        <w:t>模型与数据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sz w:val="21"/>
        </w:rPr>
        <w:t>`model/`</w:t>
      </w:r>
      <w:r>
        <w:rPr>
          <w:rFonts w:ascii="Times New Roman" w:hAnsi="Times New Roman" w:eastAsia="宋体"/>
          <w:color w:val="606060"/>
          <w:sz w:val="18"/>
        </w:rPr>
        <w:t>（model/）</w:t>
      </w:r>
      <w:r>
        <w:rPr>
          <w:rFonts w:ascii="Times New Roman" w:hAnsi="Times New Roman" w:eastAsia="宋体"/>
          <w:sz w:val="21"/>
        </w:rPr>
        <w:t>（可复现）、</w:t>
      </w:r>
      <w:r>
        <w:rPr>
          <w:rFonts w:ascii="Times New Roman" w:hAnsi="Times New Roman" w:eastAsia="宋体"/>
          <w:sz w:val="21"/>
        </w:rPr>
        <w:t>`02-数据来源与核验附录.md`</w:t>
      </w:r>
      <w:r>
        <w:rPr>
          <w:rFonts w:ascii="Times New Roman" w:hAnsi="Times New Roman" w:eastAsia="宋体"/>
          <w:color w:val="606060"/>
          <w:sz w:val="18"/>
        </w:rPr>
        <w:t>（02-数据来源与核验附录.md）</w:t>
      </w:r>
      <w:r>
        <w:rPr>
          <w:rFonts w:ascii="Times New Roman" w:hAnsi="Times New Roman" w:eastAsia="宋体"/>
          <w:sz w:val="21"/>
        </w:rPr>
        <w:t>（可查证）、</w:t>
      </w:r>
      <w:r>
        <w:rPr>
          <w:rFonts w:ascii="Times New Roman" w:hAnsi="Times New Roman" w:eastAsia="宋体"/>
          <w:sz w:val="21"/>
        </w:rPr>
        <w:t>`outputs/`</w:t>
      </w:r>
      <w:r>
        <w:rPr>
          <w:rFonts w:ascii="Times New Roman" w:hAnsi="Times New Roman" w:eastAsia="宋体"/>
          <w:color w:val="606060"/>
          <w:sz w:val="18"/>
        </w:rPr>
        <w:t>（outputs/）</w:t>
      </w:r>
      <w:r>
        <w:rPr>
          <w:rFonts w:ascii="Times New Roman" w:hAnsi="Times New Roman" w:eastAsia="宋体"/>
          <w:sz w:val="21"/>
        </w:rPr>
        <w:t xml:space="preserve">（全部产物） </w:t>
      </w:r>
      <w:r>
        <w:rPr>
          <w:rFonts w:ascii="Times New Roman" w:hAnsi="Times New Roman" w:eastAsia="宋体"/>
          <w:b/>
          <w:sz w:val="21"/>
        </w:rPr>
        <w:t>姊妹报告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sz w:val="21"/>
        </w:rPr>
        <w:t>`../b300-kimi-k3/报告.md`</w:t>
      </w:r>
      <w:r>
        <w:rPr>
          <w:rFonts w:ascii="Times New Roman" w:hAnsi="Times New Roman" w:eastAsia="宋体"/>
          <w:color w:val="606060"/>
          <w:sz w:val="18"/>
        </w:rPr>
        <w:t>（../b300-kimi-k3/报告.md）</w:t>
      </w:r>
      <w:r>
        <w:rPr>
          <w:rFonts w:ascii="Times New Roman" w:hAnsi="Times New Roman" w:eastAsia="宋体"/>
          <w:sz w:val="21"/>
        </w:rPr>
        <w:t xml:space="preserve"> 分析同一模式在中国境内 35 万元/月 的情形，两份互为对照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零、一句话结论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技术上完全可行，单位经济性也成立（基准画像盈亏平衡利用率 43.6%），但这不是一笔可以按常规方式推进的生意——它的风险结构极不对称：上行有限（2,000 次蒙特卡洛中位终值为 −9.2 万美元），下行极大（36 个月租约若在第 6 个月失败，剩余义务现值 57.0 万美元，是初始资金 13.3 万美元的 4.3 倍）。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而且</w:t>
      </w:r>
      <w:r>
        <w:rPr>
          <w:rFonts w:ascii="Times New Roman" w:hAnsi="Times New Roman" w:eastAsia="宋体"/>
          <w:b/>
          <w:sz w:val="21"/>
        </w:rPr>
        <w:t>选址解决不了最关键的那个问题</w:t>
      </w:r>
      <w:r>
        <w:rPr>
          <w:rFonts w:ascii="Times New Roman" w:hAnsi="Times New Roman" w:eastAsia="宋体"/>
          <w:sz w:val="21"/>
        </w:rPr>
        <w:t>。美国的管制分两层，其中实体属性那一层适用于"美国境外的一切目的地"，换国家无效。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一、结论与建议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1.1 五条主要结论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结论一：东南亚"不受管制的国家"，答案与直觉相反。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3A090 类先进算力物项对 Country Group D:1/D:4/D:5 目的地本身有许可要求。东南亚各国的实际归属是：缅甸仍在 D:5；柬埔寨 2026-02-03 已移出 D:5 但</w:t>
      </w:r>
      <w:r>
        <w:rPr>
          <w:rFonts w:ascii="Times New Roman" w:hAnsi="Times New Roman" w:eastAsia="宋体"/>
          <w:b/>
          <w:sz w:val="21"/>
        </w:rPr>
        <w:t>仍在 D:1</w:t>
      </w:r>
      <w:r>
        <w:rPr>
          <w:rFonts w:ascii="Times New Roman" w:hAnsi="Times New Roman" w:eastAsia="宋体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越南与老挝也在 D:1</w:t>
      </w:r>
      <w:r>
        <w:rPr>
          <w:rFonts w:ascii="Times New Roman" w:hAnsi="Times New Roman" w:eastAsia="宋体"/>
          <w:sz w:val="21"/>
        </w:rPr>
        <w:t>。所以在目的地层面被排除的是</w:t>
      </w:r>
      <w:r>
        <w:rPr>
          <w:rFonts w:ascii="Times New Roman" w:hAnsi="Times New Roman" w:eastAsia="宋体"/>
          <w:b/>
          <w:sz w:val="21"/>
        </w:rPr>
        <w:t>柬埔寨、老挝、缅甸、越南</w:t>
      </w:r>
      <w:r>
        <w:rPr>
          <w:rFonts w:ascii="Times New Roman" w:hAnsi="Times New Roman" w:eastAsia="宋体"/>
          <w:sz w:val="21"/>
        </w:rPr>
        <w:t>四国。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越南被排除这一条最值得注意：FPT AI Factory 已经上线了 HGX B300 按需云，硬件现货实实在在有，但目的地层面就卡住了。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通过筛查的是：</w:t>
      </w:r>
      <w:r>
        <w:rPr>
          <w:rFonts w:ascii="Times New Roman" w:hAnsi="Times New Roman" w:eastAsia="宋体"/>
          <w:b/>
          <w:sz w:val="21"/>
        </w:rPr>
        <w:t>马来西亚、泰国、印度尼西亚、菲律宾</w:t>
      </w:r>
      <w:r>
        <w:rPr>
          <w:rFonts w:ascii="Times New Roman" w:hAnsi="Times New Roman" w:eastAsia="宋体"/>
          <w:sz w:val="21"/>
        </w:rPr>
        <w:t>，加上作为成本上界对照的</w:t>
      </w:r>
      <w:r>
        <w:rPr>
          <w:rFonts w:ascii="Times New Roman" w:hAnsi="Times New Roman" w:eastAsia="宋体"/>
          <w:b/>
          <w:sz w:val="21"/>
        </w:rPr>
        <w:t>新加坡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但更要紧的是那条换国家解决不了的：BIS 2026-05-31 指引明确许可要求适用于"all destinations outside the United States"，判定依据是终端用户的</w:t>
      </w:r>
      <w:r>
        <w:rPr>
          <w:rFonts w:ascii="Times New Roman" w:hAnsi="Times New Roman" w:eastAsia="宋体"/>
          <w:b/>
          <w:sz w:val="21"/>
        </w:rPr>
        <w:t>总部与最终母公司所在地</w:t>
      </w:r>
      <w:r>
        <w:rPr>
          <w:rFonts w:ascii="Times New Roman" w:hAnsi="Times New Roman" w:eastAsia="宋体"/>
          <w:sz w:val="21"/>
        </w:rPr>
        <w:t>。这一层是 Gate 0，不是选址题。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结论二：15 万元/月 不是便宜货，是贴着地板的价。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三条互相独立的路径指向同一结论：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验证路径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与本项目对比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本项目给定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$22,086/月（$3.7818/卡·小时）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基准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Bit Origin 马来西亚可比交易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$22,500/台/月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我方</w:t>
            </w:r>
            <w:r>
              <w:rPr>
                <w:rFonts w:ascii="Times New Roman" w:hAnsi="Times New Roman" w:eastAsia="宋体"/>
                <w:b/>
                <w:sz w:val="18"/>
              </w:rPr>
              <w:t>低 1.84%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出租方成本反推（马来西亚，硬件中位）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$22,985/月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我方</w:t>
            </w:r>
            <w:r>
              <w:rPr>
                <w:rFonts w:ascii="Times New Roman" w:hAnsi="Times New Roman" w:eastAsia="宋体"/>
                <w:b/>
                <w:sz w:val="18"/>
              </w:rPr>
              <w:t>低于其成本 3.9%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出租方成本反推（马来西亚，硬件低位）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$19,663/月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出租方毛利仅 11.0%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出租方成本反推（新加坡，硬件低位）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$22,076/月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出租方毛利 </w:t>
            </w:r>
            <w:r>
              <w:rPr>
                <w:rFonts w:ascii="Times New Roman" w:hAnsi="Times New Roman" w:eastAsia="宋体"/>
                <w:b/>
                <w:sz w:val="18"/>
              </w:rPr>
              <w:t>0.04%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（见 </w:t>
      </w:r>
      <w:r>
        <w:rPr>
          <w:rFonts w:ascii="Times New Roman" w:hAnsi="Times New Roman" w:eastAsia="宋体"/>
          <w:sz w:val="21"/>
        </w:rPr>
        <w:t>`outputs/02_rent_benchmarks.csv`</w:t>
      </w:r>
      <w:r>
        <w:rPr>
          <w:rFonts w:ascii="Times New Roman" w:hAnsi="Times New Roman" w:eastAsia="宋体"/>
          <w:color w:val="606060"/>
          <w:sz w:val="18"/>
        </w:rPr>
        <w:t>（outputs/02_rent_benchmarks.csv）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Times New Roman" w:hAnsi="Times New Roman" w:eastAsia="宋体"/>
          <w:sz w:val="21"/>
        </w:rPr>
        <w:t>`outputs/02_lessor_cost_buildup.csv`</w:t>
      </w:r>
      <w:r>
        <w:rPr>
          <w:rFonts w:ascii="Times New Roman" w:hAnsi="Times New Roman" w:eastAsia="宋体"/>
          <w:color w:val="606060"/>
          <w:sz w:val="18"/>
        </w:rPr>
        <w:t>（outputs/02_lessor_cost_buildup.csv）</w:t>
      </w:r>
      <w:r>
        <w:rPr>
          <w:rFonts w:ascii="Times New Roman" w:hAnsi="Times New Roman" w:eastAsia="宋体"/>
          <w:sz w:val="21"/>
        </w:rPr>
        <w:t>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Bit Origin（NASDAQ: BTOG）自己的账更说明问题：16 台服务器 1,100 万美元，折合每台 </w:t>
      </w:r>
      <w:r>
        <w:rPr>
          <w:rFonts w:ascii="Times New Roman" w:hAnsi="Times New Roman" w:eastAsia="宋体"/>
          <w:b/>
          <w:sz w:val="21"/>
        </w:rPr>
        <w:t>$687,500</w:t>
      </w:r>
      <w:r>
        <w:rPr>
          <w:rFonts w:ascii="Times New Roman" w:hAnsi="Times New Roman" w:eastAsia="宋体"/>
          <w:sz w:val="21"/>
        </w:rPr>
        <w:t>，而预期月收入每台 $22,500——</w:t>
      </w:r>
      <w:r>
        <w:rPr>
          <w:rFonts w:ascii="Times New Roman" w:hAnsi="Times New Roman" w:eastAsia="宋体"/>
          <w:b/>
          <w:sz w:val="21"/>
        </w:rPr>
        <w:t>硬件毛收益率仅 39.3%/年，光收回硬件成本就要 30.6 个月</w:t>
      </w:r>
      <w:r>
        <w:rPr>
          <w:rFonts w:ascii="Times New Roman" w:hAnsi="Times New Roman" w:eastAsia="宋体"/>
          <w:sz w:val="21"/>
        </w:rPr>
        <w:t>，还没算托管与电费。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67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essor_c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出租方成本反推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这改变了风险的性质。</w:t>
      </w:r>
      <w:r>
        <w:rPr>
          <w:rFonts w:ascii="Times New Roman" w:hAnsi="Times New Roman" w:eastAsia="宋体"/>
          <w:b/>
          <w:sz w:val="21"/>
        </w:rPr>
        <w:t>这不是议价空间问题，是交易对手可持续性问题。</w:t>
      </w:r>
      <w:r>
        <w:rPr>
          <w:rFonts w:ascii="Times New Roman" w:hAnsi="Times New Roman" w:eastAsia="宋体"/>
          <w:sz w:val="21"/>
        </w:rPr>
        <w:t xml:space="preserve"> 一个以低于自身成本的价格签 36 个月长约的出租方，要么是硬件成本远低于市场（有其来源问题），要么是在赌后市，要么会在合约期内违约。</w:t>
      </w:r>
      <w:r>
        <w:rPr>
          <w:rFonts w:ascii="Times New Roman" w:hAnsi="Times New Roman" w:eastAsia="宋体"/>
          <w:b/>
          <w:sz w:val="21"/>
        </w:rPr>
        <w:t>签约前必须查清对方的硬件取得成本与资金结构，这比压价重要得多。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顺带一个反直觉的推论：</w:t>
      </w:r>
      <w:r>
        <w:rPr>
          <w:rFonts w:ascii="Times New Roman" w:hAnsi="Times New Roman" w:eastAsia="宋体"/>
          <w:b/>
          <w:sz w:val="21"/>
        </w:rPr>
        <w:t>不要把精力花在压价上。</w:t>
      </w:r>
      <w:r>
        <w:rPr>
          <w:rFonts w:ascii="Times New Roman" w:hAnsi="Times New Roman" w:eastAsia="宋体"/>
          <w:sz w:val="21"/>
        </w:rPr>
        <w:t xml:space="preserve"> 这个价已经在地板，再压只会提高对方违约概率。谈判筹码应该全部用在</w:t>
      </w:r>
      <w:r>
        <w:rPr>
          <w:rFonts w:ascii="Times New Roman" w:hAnsi="Times New Roman" w:eastAsia="宋体"/>
          <w:b/>
          <w:sz w:val="21"/>
        </w:rPr>
        <w:t>提前终止条款</w:t>
      </w:r>
      <w:r>
        <w:rPr>
          <w:rFonts w:ascii="Times New Roman" w:hAnsi="Times New Roman" w:eastAsia="宋体"/>
          <w:sz w:val="21"/>
        </w:rPr>
        <w:t>上——理由见结论五。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结论三：选址的价值比想象的小，而且不在延迟上。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算力地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到美西 RTT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TTFT 均值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相对新加坡恶化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托管价估计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空置率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165 ms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731.7 ms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$403/kW·月（报价）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4.9%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 柔佛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180 ms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746.7 ms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+2.05%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$261.5（估计）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0.7%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印尼 雅加达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180 ms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746.7 ms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+2.05%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$195.9（估计）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20.5%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 曼谷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200 ms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766.7 ms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+4.78%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$239.8（估计）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23.3%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菲律宾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数据缺口 G-3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数据缺口 G-1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（见 </w:t>
      </w:r>
      <w:r>
        <w:rPr>
          <w:rFonts w:ascii="Times New Roman" w:hAnsi="Times New Roman" w:eastAsia="宋体"/>
          <w:sz w:val="21"/>
        </w:rPr>
        <w:t>`outputs/03_siting_matrix.csv`</w:t>
      </w:r>
      <w:r>
        <w:rPr>
          <w:rFonts w:ascii="Times New Roman" w:hAnsi="Times New Roman" w:eastAsia="宋体"/>
          <w:color w:val="606060"/>
          <w:sz w:val="18"/>
        </w:rPr>
        <w:t>（outputs/03_siting_matrix.csv）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Times New Roman" w:hAnsi="Times New Roman" w:eastAsia="宋体"/>
          <w:sz w:val="21"/>
        </w:rPr>
        <w:t>`outputs/03_latency_slo.csv`</w:t>
      </w:r>
      <w:r>
        <w:rPr>
          <w:rFonts w:ascii="Times New Roman" w:hAnsi="Times New Roman" w:eastAsia="宋体"/>
          <w:color w:val="606060"/>
          <w:sz w:val="18"/>
        </w:rPr>
        <w:t>（outputs/03_latency_slo.csv）</w:t>
      </w:r>
      <w:r>
        <w:rPr>
          <w:rFonts w:ascii="Times New Roman" w:hAnsi="Times New Roman" w:eastAsia="宋体"/>
          <w:sz w:val="21"/>
        </w:rPr>
        <w:t>）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迁出新加坡的延迟代价只有 2.05%–4.78%，可以忽略。</w:t>
      </w:r>
      <w:r>
        <w:rPr>
          <w:rFonts w:ascii="Times New Roman" w:hAnsi="Times New Roman" w:eastAsia="宋体"/>
          <w:sz w:val="21"/>
        </w:rPr>
        <w:t xml:space="preserve"> 更值得注意的是：实测 TTFT 的 P90 在新加坡就已经是 1,107 ms，</w:t>
      </w:r>
      <w:r>
        <w:rPr>
          <w:rFonts w:ascii="Times New Roman" w:hAnsi="Times New Roman" w:eastAsia="宋体"/>
          <w:b/>
          <w:sz w:val="21"/>
        </w:rPr>
        <w:t>本身就超过 1 秒的 SLO 阈值</w:t>
      </w:r>
      <w:r>
        <w:rPr>
          <w:rFonts w:ascii="Times New Roman" w:hAnsi="Times New Roman" w:eastAsia="宋体"/>
          <w:sz w:val="21"/>
        </w:rPr>
        <w:t>——瓶颈在模型和并发，不在选址。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真正有价值的选址结论有两条，都与成本无关而与议价能力有关：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柔佛电价便宜（$0.12–0.13/kWh vs 新加坡 $0.15）但空置率仅 0.7%，比新加坡（4.9%）还紧张，议价空间反而最小。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曼谷（23.3%）与雅加达（20.5%）才是买方市场。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以及一条决定"这个价在哪里可持续"的推算（</w:t>
      </w:r>
      <w:r>
        <w:rPr>
          <w:rFonts w:ascii="Times New Roman" w:hAnsi="Times New Roman" w:eastAsia="宋体"/>
          <w:sz w:val="21"/>
        </w:rPr>
        <w:t>`outputs/02_lessor_cost_by_country.csv`</w:t>
      </w:r>
      <w:r>
        <w:rPr>
          <w:rFonts w:ascii="Times New Roman" w:hAnsi="Times New Roman" w:eastAsia="宋体"/>
          <w:color w:val="606060"/>
          <w:sz w:val="18"/>
        </w:rPr>
        <w:t>（outputs/02_lessor_cost_by_country.csv）</w:t>
      </w:r>
      <w:r>
        <w:rPr>
          <w:rFonts w:ascii="Times New Roman" w:hAnsi="Times New Roman" w:eastAsia="宋体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算力地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出租方成本（硬件中位）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15 万元/月对出租方是否可持续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印度尼西亚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$21,999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是（但电价为假设值，见 G-2）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$22,658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否，差 2.6%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$22,985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否，差 3.9%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$25,397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否，差 13.0%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结论四：单位经济性成立，但只在官方定价附近成立。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一台节点在四类流量画像下的满载表现（</w:t>
      </w:r>
      <w:r>
        <w:rPr>
          <w:rFonts w:ascii="Times New Roman" w:hAnsi="Times New Roman" w:eastAsia="宋体"/>
          <w:sz w:val="21"/>
        </w:rPr>
        <w:t>`outputs/04_capacity_by_profile.csv`</w:t>
      </w:r>
      <w:r>
        <w:rPr>
          <w:rFonts w:ascii="Times New Roman" w:hAnsi="Times New Roman" w:eastAsia="宋体"/>
          <w:color w:val="606060"/>
          <w:sz w:val="18"/>
        </w:rPr>
        <w:t>（outputs/04_capacity_by_profile.csv）</w:t>
      </w:r>
      <w:r>
        <w:rPr>
          <w:rFonts w:ascii="Times New Roman" w:hAnsi="Times New Roman" w:eastAsia="宋体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画像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平均上下文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解码吞吐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满载月收入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每节点·小时收入</w:t>
            </w:r>
          </w:p>
        </w:tc>
        <w:tc>
          <w:tcPr>
            <w:tcW w:type="dxa" w:w="153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盈亏平衡利用率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对话 2K/500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2,250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1,686 tok/s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$73,280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$100.38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32.5%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基准 8K/800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8,400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1,049 tok/s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$54,647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$74.86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43.6%</w:t>
            </w:r>
          </w:p>
        </w:tc>
      </w:tr>
      <w:tr>
        <w:tc>
          <w:tcPr>
            <w:tcW w:type="dxa" w:w="153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智能体 32K/1500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32,750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643 tok/s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$44,409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$60.83</w:t>
            </w:r>
          </w:p>
        </w:tc>
        <w:tc>
          <w:tcPr>
            <w:tcW w:type="dxa" w:w="153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53.7%</w:t>
            </w:r>
          </w:p>
        </w:tc>
      </w:tr>
      <w:tr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长文档 128K/2000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129,000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345 tok/s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$44,651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$61.17</w:t>
            </w:r>
          </w:p>
        </w:tc>
        <w:tc>
          <w:tcPr>
            <w:tcW w:type="dxa" w:w="153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53.4%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但价格弹性极小。基准画像下：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 xml:space="preserve">按官方价（$3.00/$0.30/$15.00）：平衡利用率 </w:t>
      </w:r>
      <w:r>
        <w:rPr>
          <w:rFonts w:ascii="Times New Roman" w:hAnsi="Times New Roman" w:eastAsia="宋体"/>
          <w:b/>
          <w:sz w:val="21"/>
        </w:rPr>
        <w:t>43.6%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 xml:space="preserve">主动折价 50%（对标 TeamoRouter 的 $1.50/$7.50）：平衡利用率 </w:t>
      </w:r>
      <w:r>
        <w:rPr>
          <w:rFonts w:ascii="Times New Roman" w:hAnsi="Times New Roman" w:eastAsia="宋体"/>
          <w:b/>
          <w:sz w:val="21"/>
        </w:rPr>
        <w:t>87.3%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>折价超过 50%：</w:t>
      </w:r>
      <w:r>
        <w:rPr>
          <w:rFonts w:ascii="Times New Roman" w:hAnsi="Times New Roman" w:eastAsia="宋体"/>
          <w:b/>
          <w:sz w:val="21"/>
        </w:rPr>
        <w:t>在 15 万租金下不存在可行解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reakeven_su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盈亏平衡曲面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这条约束很硬：K3 开放权重 9 天内已有 11 家 provider 同价竞争，新进入者没有定价权，只能接受市场价并承受下行。而模型显示我们最多只能承受 50% 的价格下行。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结论五：36 个月滚动下，只有一种组合成立；而且最大的风险藏在窗口之外。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三种需求情景 × 三档价格侵蚀率的结果（</w:t>
      </w:r>
      <w:r>
        <w:rPr>
          <w:rFonts w:ascii="Times New Roman" w:hAnsi="Times New Roman" w:eastAsia="宋体"/>
          <w:sz w:val="21"/>
        </w:rPr>
        <w:t>`outputs/06_roll_summary.csv`</w:t>
      </w:r>
      <w:r>
        <w:rPr>
          <w:rFonts w:ascii="Times New Roman" w:hAnsi="Times New Roman" w:eastAsia="宋体"/>
          <w:color w:val="606060"/>
          <w:sz w:val="18"/>
        </w:rPr>
        <w:t>（outputs/06_roll_summary.csv）</w:t>
      </w:r>
      <w:r>
        <w:rPr>
          <w:rFonts w:ascii="Times New Roman" w:hAnsi="Times New Roman" w:eastAsia="宋体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需求情景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侵蚀 0%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侵蚀 20%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侵蚀 40%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悲观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亏 $270,838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亏 $426,081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亏 $545,733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中性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IRR 13.3%</w:t>
            </w:r>
            <w:r>
              <w:rPr>
                <w:rFonts w:ascii="Times New Roman" w:hAnsi="Times New Roman" w:eastAsia="宋体"/>
                <w:sz w:val="18"/>
              </w:rPr>
              <w:t>，赚 $776,051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赚 $88,574，未回本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亏 $229,893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乐观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IRR 245.5%</w:t>
            </w:r>
            <w:r>
              <w:rPr>
                <w:rFonts w:ascii="Times New Roman" w:hAnsi="Times New Roman" w:eastAsia="宋体"/>
                <w:sz w:val="18"/>
              </w:rPr>
              <w:t>，赚 $2,453,828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IRR 90.8%</w:t>
            </w:r>
            <w:r>
              <w:rPr>
                <w:rFonts w:ascii="Times New Roman" w:hAnsi="Times New Roman" w:eastAsia="宋体"/>
                <w:sz w:val="18"/>
              </w:rPr>
              <w:t>，赚 $82,374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赚 $5,284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（"赚/亏"为继续经营口径的终值，已含租约清算期的净现值）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ash_runw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现金曲线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年化价格侵蚀率是决定生死的单一变量，而它恰恰是本模型中最没有出处的假设。</w:t>
      </w:r>
      <w:r>
        <w:rPr>
          <w:rFonts w:ascii="Times New Roman" w:hAnsi="Times New Roman" w:eastAsia="宋体"/>
          <w:sz w:val="21"/>
        </w:rPr>
        <w:t xml:space="preserve"> 它没有历史序列可拟合，只能靠"11 家同价竞争"的市场结构定性推断。报告不对它下断言，只把结论写成它的函数。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2,000 次蒙特卡洛（</w:t>
      </w:r>
      <w:r>
        <w:rPr>
          <w:rFonts w:ascii="Times New Roman" w:hAnsi="Times New Roman" w:eastAsia="宋体"/>
          <w:sz w:val="21"/>
        </w:rPr>
        <w:t>`outputs/08_monte_carlo.csv`</w:t>
      </w:r>
      <w:r>
        <w:rPr>
          <w:rFonts w:ascii="Times New Roman" w:hAnsi="Times New Roman" w:eastAsia="宋体"/>
          <w:color w:val="606060"/>
          <w:sz w:val="18"/>
        </w:rPr>
        <w:t>（outputs/08_monte_carlo.csv）</w:t>
      </w:r>
      <w:r>
        <w:rPr>
          <w:rFonts w:ascii="Times New Roman" w:hAnsi="Times New Roman" w:eastAsia="宋体"/>
          <w:sz w:val="21"/>
        </w:rPr>
        <w:t>）给出概率分布：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继续经营终值为正的概率</w:t>
            </w:r>
          </w:p>
        </w:tc>
        <w:tc>
          <w:tcPr>
            <w:tcW w:type="dxa" w:w="459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38.4%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36 个月内回本的概率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14.2%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IRR 分位数 P10 / P50 / P90</w:t>
            </w:r>
          </w:p>
        </w:tc>
        <w:tc>
          <w:tcPr>
            <w:tcW w:type="dxa" w:w="459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8.5% / 86.4% / 176.5%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终值分位数 P10 / P50 / P90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 xml:space="preserve">−$506,510 / </w:t>
            </w:r>
            <w:r>
              <w:rPr>
                <w:rFonts w:ascii="Times New Roman" w:hAnsi="Times New Roman" w:eastAsia="宋体"/>
                <w:b/>
                <w:sz w:val="18"/>
              </w:rPr>
              <w:t>−$92,288</w:t>
            </w:r>
            <w:r>
              <w:rPr>
                <w:rFonts w:ascii="Times New Roman" w:hAnsi="Times New Roman" w:eastAsia="宋体"/>
                <w:sz w:val="18"/>
              </w:rPr>
              <w:t xml:space="preserve"> / +$492,226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最坏停摆情形</w:t>
            </w:r>
          </w:p>
        </w:tc>
        <w:tc>
          <w:tcPr>
            <w:tcW w:type="dxa" w:w="459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−$1,440,557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151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onte_car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蒙特卡洛分布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中位终值为负。</w:t>
      </w:r>
      <w:r>
        <w:rPr>
          <w:rFonts w:ascii="Times New Roman" w:hAnsi="Times New Roman" w:eastAsia="宋体"/>
          <w:sz w:val="21"/>
        </w:rPr>
        <w:t xml:space="preserve"> IRR 中位数看起来很漂亮（86.4%），但那只统计了"能回本"的那 14.2% 的样本——只看 IRR 不看回本概率会严重误导。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而窗口之外还有一笔：</w:t>
      </w:r>
      <w:r>
        <w:rPr>
          <w:rFonts w:ascii="Times New Roman" w:hAnsi="Times New Roman" w:eastAsia="宋体"/>
          <w:b/>
          <w:sz w:val="21"/>
        </w:rPr>
        <w:t>长租约的下行不对称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Times New Roman" w:hAnsi="Times New Roman" w:eastAsia="宋体"/>
          <w:sz w:val="21"/>
        </w:rPr>
        <w:t>`outputs/07_downside_asymmetry.csv`</w:t>
      </w:r>
      <w:r>
        <w:rPr>
          <w:rFonts w:ascii="Times New Roman" w:hAnsi="Times New Roman" w:eastAsia="宋体"/>
          <w:color w:val="606060"/>
          <w:sz w:val="18"/>
        </w:rPr>
        <w:t>（outputs/07_downside_asymmetry.csv）</w:t>
      </w:r>
      <w:r>
        <w:rPr>
          <w:rFonts w:ascii="Times New Roman" w:hAnsi="Times New Roman" w:eastAsia="宋体"/>
          <w:sz w:val="21"/>
        </w:rPr>
        <w:t>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8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ownside_asymm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下行不对称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业务停摆月份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月付无承诺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12 个月租约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36 个月租约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第 3 月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$189,187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$618,174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第 6 月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$127,998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$569,983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第 12 月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$469,177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第 24 月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$248,577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第 6 个月失败时，36 个月租约留下的剩余义务现值是 </w:t>
      </w:r>
      <w:r>
        <w:rPr>
          <w:rFonts w:ascii="Times New Roman" w:hAnsi="Times New Roman" w:eastAsia="宋体"/>
          <w:b/>
          <w:sz w:val="21"/>
        </w:rPr>
        <w:t>$569,983，相当于初始资金 $132,515 的 4.3 倍</w:t>
      </w:r>
      <w:r>
        <w:rPr>
          <w:rFonts w:ascii="Times New Roman" w:hAnsi="Times New Roman" w:eastAsia="宋体"/>
          <w:sz w:val="21"/>
        </w:rPr>
        <w:t>。在乐观情景下若业务停摆，停摆口径终值为 −$1,174,145。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这是"用长约换低价"的真实代价。而低价本身（结论二）已经证明没有议价红利可拿——等于用巨大的下行风险，换了一个本来就是市价的价格。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值得单独指出的是：</w:t>
      </w:r>
      <w:r>
        <w:rPr>
          <w:rFonts w:ascii="Times New Roman" w:hAnsi="Times New Roman" w:eastAsia="宋体"/>
          <w:b/>
          <w:sz w:val="21"/>
        </w:rPr>
        <w:t>缩短租期不但不损害正常经营，还能提高价值。</w:t>
      </w:r>
      <w:r>
        <w:rPr>
          <w:rFonts w:ascii="Times New Roman" w:hAnsi="Times New Roman" w:eastAsia="宋体"/>
          <w:sz w:val="21"/>
        </w:rPr>
        <w:t xml:space="preserve"> 模型中租期只影响"你想停的时候还要付多久"，不影响窗口内的经营（租约到期自动续期）。中性情景下 12 个月租约的继续经营终值为 </w:t>
      </w:r>
      <w:r>
        <w:rPr>
          <w:rFonts w:ascii="Times New Roman" w:hAnsi="Times New Roman" w:eastAsia="宋体"/>
          <w:b/>
          <w:sz w:val="21"/>
        </w:rPr>
        <w:t>$97,907</w:t>
      </w:r>
      <w:r>
        <w:rPr>
          <w:rFonts w:ascii="Times New Roman" w:hAnsi="Times New Roman" w:eastAsia="宋体"/>
          <w:sz w:val="21"/>
        </w:rPr>
        <w:t>，高于 36 个月的 $88,574——因为窗口外的剩余义务更少（</w:t>
      </w:r>
      <w:r>
        <w:rPr>
          <w:rFonts w:ascii="Times New Roman" w:hAnsi="Times New Roman" w:eastAsia="宋体"/>
          <w:sz w:val="21"/>
        </w:rPr>
        <w:t>`outputs/07_sensitivity_neutral.csv`</w:t>
      </w:r>
      <w:r>
        <w:rPr>
          <w:rFonts w:ascii="Times New Roman" w:hAnsi="Times New Roman" w:eastAsia="宋体"/>
          <w:color w:val="606060"/>
          <w:sz w:val="18"/>
        </w:rPr>
        <w:t>（outputs/07_sensitivity_neutral.csv）</w:t>
      </w:r>
      <w:r>
        <w:rPr>
          <w:rFonts w:ascii="Times New Roman" w:hAnsi="Times New Roman" w:eastAsia="宋体"/>
          <w:sz w:val="21"/>
        </w:rPr>
        <w:t>）。</w:t>
      </w:r>
      <w:r>
        <w:rPr>
          <w:rFonts w:ascii="Times New Roman" w:hAnsi="Times New Roman" w:eastAsia="宋体"/>
          <w:b/>
          <w:sz w:val="21"/>
        </w:rPr>
        <w:t>短租期是纯增益：正常经营不受影响，失败时损失小 4 倍以上。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1.2 建议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按优先级排列，每条都可执行、可检验：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先过 Gate 0，再谈其他。</w:t>
      </w:r>
      <w:r>
        <w:rPr>
          <w:rFonts w:ascii="Times New Roman" w:hAnsi="Times New Roman" w:eastAsia="宋体"/>
          <w:sz w:val="21"/>
        </w:rPr>
        <w:t xml:space="preserve"> 请出口管制律师就两件事出具书面意见：(a) 运营主体及其最终母公司总部所在地是否落入 D:5/澳门；(b) 独占式裸金属租赁是否构成 EAR 意义上的 transfer (in-country)。第一件不过，后面全部作废，且换国家无效。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把全部谈判筹码押在提前终止条款上，而不是价格上。</w:t>
      </w:r>
      <w:r>
        <w:rPr>
          <w:rFonts w:ascii="Times New Roman" w:hAnsi="Times New Roman" w:eastAsia="宋体"/>
          <w:sz w:val="21"/>
        </w:rPr>
        <w:t xml:space="preserve"> 价格已经在地板（结论二），继续压价只会提高对方违约概率。而把 36 个月改成"12 个月 + 可续"或"36 个月带 90 天无责终止"，能把第 6 月失败的损失从 $569,983 压到 $127,998 甚至 $0——</w:t>
      </w:r>
      <w:r>
        <w:rPr>
          <w:rFonts w:ascii="Times New Roman" w:hAnsi="Times New Roman" w:eastAsia="宋体"/>
          <w:b/>
          <w:sz w:val="21"/>
        </w:rPr>
        <w:t>这一条的价值远超任何降价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签约前做交易对手尽调。</w:t>
      </w:r>
      <w:r>
        <w:rPr>
          <w:rFonts w:ascii="Times New Roman" w:hAnsi="Times New Roman" w:eastAsia="宋体"/>
          <w:sz w:val="21"/>
        </w:rPr>
        <w:t xml:space="preserve"> 具体查三件事：对方的 B300 取得成本与来源、是否持有必要的美国再出口授权、以及是否有其他已投运客户。Bit Origin 的公开数据显示这个价位下出租方自己也很紧，对方的偿付能力是我方的实质风险。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优先谈泰国与印尼，不是柔佛。</w:t>
      </w:r>
      <w:r>
        <w:rPr>
          <w:rFonts w:ascii="Times New Roman" w:hAnsi="Times New Roman" w:eastAsia="宋体"/>
          <w:sz w:val="21"/>
        </w:rPr>
        <w:t xml:space="preserve"> 柔佛空置率 0.7%，你没有议价空间；曼谷 23.3%、雅加达 20.5% 才有。泰国另有 Freyr AI 这样已把 B300/GB300 投入实际运营的可指名交易对手，且企业所得税 20% 低于马来西亚 24%。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买算力即服务，不要租裸金属。</w:t>
      </w:r>
      <w:r>
        <w:rPr>
          <w:rFonts w:ascii="Times New Roman" w:hAnsi="Times New Roman" w:eastAsia="宋体"/>
          <w:sz w:val="21"/>
        </w:rPr>
        <w:t xml:space="preserve"> 同一个决定同时缓释两个风险：出口管制上的 transfer 定性风险，与东道国的服务器常设机构风险。两者判定的都是"你是否支配该物项"，所以指向同一个答案。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主体注册在新加坡，算力放在低成本国。</w:t>
      </w:r>
      <w:r>
        <w:rPr>
          <w:rFonts w:ascii="Times New Roman" w:hAnsi="Times New Roman" w:eastAsia="宋体"/>
          <w:sz w:val="21"/>
        </w:rPr>
        <w:t xml:space="preserve"> 新加坡 17% 标准税率叠加新创减免后，30 万美元利润的首年有效税率仅 </w:t>
      </w:r>
      <w:r>
        <w:rPr>
          <w:rFonts w:ascii="Times New Roman" w:hAnsi="Times New Roman" w:eastAsia="宋体"/>
          <w:b/>
          <w:sz w:val="21"/>
        </w:rPr>
        <w:t>5.74%</w:t>
      </w:r>
      <w:r>
        <w:rPr>
          <w:rFonts w:ascii="Times New Roman" w:hAnsi="Times New Roman" w:eastAsia="宋体"/>
          <w:sz w:val="21"/>
        </w:rPr>
        <w:t>，第 4 年 12.47%，均低于泰国 20%、马来西亚 24%、菲律宾 25%（</w:t>
      </w:r>
      <w:r>
        <w:rPr>
          <w:rFonts w:ascii="Times New Roman" w:hAnsi="Times New Roman" w:eastAsia="宋体"/>
          <w:sz w:val="21"/>
        </w:rPr>
        <w:t>`outputs/03_structure_tax.csv`</w:t>
      </w:r>
      <w:r>
        <w:rPr>
          <w:rFonts w:ascii="Times New Roman" w:hAnsi="Times New Roman" w:eastAsia="宋体"/>
          <w:color w:val="606060"/>
          <w:sz w:val="18"/>
        </w:rPr>
        <w:t>（outputs/03_structure_tax.csv）</w:t>
      </w:r>
      <w:r>
        <w:rPr>
          <w:rFonts w:ascii="Times New Roman" w:hAnsi="Times New Roman" w:eastAsia="宋体"/>
          <w:sz w:val="21"/>
        </w:rPr>
        <w:t>）。放进 36 期滚动模型，分离结构相对注册在当地</w:t>
      </w:r>
      <w:r>
        <w:rPr>
          <w:rFonts w:ascii="Times New Roman" w:hAnsi="Times New Roman" w:eastAsia="宋体"/>
          <w:b/>
          <w:sz w:val="21"/>
        </w:rPr>
        <w:t>值 $21,942（泰国）到 $27,519（马来西亚）</w:t>
      </w:r>
      <w:r>
        <w:rPr>
          <w:rFonts w:ascii="Times New Roman" w:hAnsi="Times New Roman" w:eastAsia="宋体"/>
          <w:sz w:val="21"/>
        </w:rPr>
        <w:t>，相当于初始资金的 17%–21%。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在需求被验证之前不要签长约。</w:t>
      </w:r>
      <w:r>
        <w:rPr>
          <w:rFonts w:ascii="Times New Roman" w:hAnsi="Times New Roman" w:eastAsia="宋体"/>
          <w:sz w:val="21"/>
        </w:rPr>
        <w:t xml:space="preserve"> 蒙特卡洛显示 36 个月内回本概率仅 14.2%，而决定成败的"需求能否在 10 个月内吃满第一台"完全没有外部依据。先用现有转售通道跑 30 天真实流量（阶段 0），成本为零。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二、本报告的可检验性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本报告不要求读者相信任何未经标注的数字。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每个外部事实</w:t>
      </w:r>
      <w:r>
        <w:rPr>
          <w:rFonts w:ascii="Times New Roman" w:hAnsi="Times New Roman" w:eastAsia="宋体"/>
          <w:sz w:val="21"/>
        </w:rPr>
        <w:t xml:space="preserve">登记在 </w:t>
      </w:r>
      <w:r>
        <w:rPr>
          <w:rFonts w:ascii="Times New Roman" w:hAnsi="Times New Roman" w:eastAsia="宋体"/>
          <w:sz w:val="21"/>
        </w:rPr>
        <w:t>`02-数据来源与核验附录.md`</w:t>
      </w:r>
      <w:r>
        <w:rPr>
          <w:rFonts w:ascii="Times New Roman" w:hAnsi="Times New Roman" w:eastAsia="宋体"/>
          <w:color w:val="606060"/>
          <w:sz w:val="18"/>
        </w:rPr>
        <w:t>（02-数据来源与核验附录.md）</w:t>
      </w:r>
      <w:r>
        <w:rPr>
          <w:rFonts w:ascii="Times New Roman" w:hAnsi="Times New Roman" w:eastAsia="宋体"/>
          <w:sz w:val="21"/>
        </w:rPr>
        <w:t>，含原文摘录、链接与访问日期，编号 S-01 至 S-33；矛盾来源与取舍理由单列。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每个参数</w:t>
      </w:r>
      <w:r>
        <w:rPr>
          <w:rFonts w:ascii="Times New Roman" w:hAnsi="Times New Roman" w:eastAsia="宋体"/>
          <w:sz w:val="21"/>
        </w:rPr>
        <w:t xml:space="preserve">集中在 </w:t>
      </w:r>
      <w:r>
        <w:rPr>
          <w:rFonts w:ascii="Times New Roman" w:hAnsi="Times New Roman" w:eastAsia="宋体"/>
          <w:sz w:val="21"/>
        </w:rPr>
        <w:t>`model/params.yaml`</w:t>
      </w:r>
      <w:r>
        <w:rPr>
          <w:rFonts w:ascii="Times New Roman" w:hAnsi="Times New Roman" w:eastAsia="宋体"/>
          <w:color w:val="606060"/>
          <w:sz w:val="18"/>
        </w:rPr>
        <w:t>（model/params.yaml）</w:t>
      </w:r>
      <w:r>
        <w:rPr>
          <w:rFonts w:ascii="Times New Roman" w:hAnsi="Times New Roman" w:eastAsia="宋体"/>
          <w:sz w:val="21"/>
        </w:rPr>
        <w:t xml:space="preserve">，带 </w:t>
      </w:r>
      <w:r>
        <w:rPr>
          <w:rFonts w:ascii="Consolas" w:hAnsi="Consolas" w:eastAsia="Consolas"/>
          <w:sz w:val="20"/>
        </w:rPr>
        <w:t>src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sz w:val="20"/>
        </w:rPr>
        <w:t>date</w:t>
      </w:r>
      <w:r>
        <w:rPr>
          <w:rFonts w:ascii="Times New Roman" w:hAnsi="Times New Roman" w:eastAsia="宋体"/>
          <w:sz w:val="21"/>
        </w:rPr>
        <w:t xml:space="preserve"> 与不确定度。代码中不出现裸字面量常数。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每个计算结果</w:t>
      </w:r>
      <w:r>
        <w:rPr>
          <w:rFonts w:ascii="Times New Roman" w:hAnsi="Times New Roman" w:eastAsia="宋体"/>
          <w:sz w:val="21"/>
        </w:rPr>
        <w:t xml:space="preserve">由 </w:t>
      </w:r>
      <w:r>
        <w:rPr>
          <w:rFonts w:ascii="Times New Roman" w:hAnsi="Times New Roman" w:eastAsia="宋体"/>
          <w:sz w:val="21"/>
        </w:rPr>
        <w:t>`model/`</w:t>
      </w:r>
      <w:r>
        <w:rPr>
          <w:rFonts w:ascii="Times New Roman" w:hAnsi="Times New Roman" w:eastAsia="宋体"/>
          <w:color w:val="606060"/>
          <w:sz w:val="18"/>
        </w:rPr>
        <w:t>（model/）</w:t>
      </w:r>
      <w:r>
        <w:rPr>
          <w:rFonts w:ascii="Times New Roman" w:hAnsi="Times New Roman" w:eastAsia="宋体"/>
          <w:sz w:val="21"/>
        </w:rPr>
        <w:t xml:space="preserve"> 生成并写入 </w:t>
      </w:r>
      <w:r>
        <w:rPr>
          <w:rFonts w:ascii="Times New Roman" w:hAnsi="Times New Roman" w:eastAsia="宋体"/>
          <w:sz w:val="21"/>
        </w:rPr>
        <w:t>`outputs/`</w:t>
      </w:r>
      <w:r>
        <w:rPr>
          <w:rFonts w:ascii="Times New Roman" w:hAnsi="Times New Roman" w:eastAsia="宋体"/>
          <w:color w:val="606060"/>
          <w:sz w:val="18"/>
        </w:rPr>
        <w:t>（outputs/）</w:t>
      </w:r>
      <w:r>
        <w:rPr>
          <w:rFonts w:ascii="Times New Roman" w:hAnsi="Times New Roman" w:eastAsia="宋体"/>
          <w:sz w:val="21"/>
        </w:rPr>
        <w:t xml:space="preserve">，正文数字可逐一回溯到 CSV 或 </w:t>
      </w:r>
      <w:r>
        <w:rPr>
          <w:rFonts w:ascii="Consolas" w:hAnsi="Consolas" w:eastAsia="Consolas"/>
          <w:sz w:val="20"/>
        </w:rPr>
        <w:t>facts.json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模型自身可被证伪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sz w:val="20"/>
        </w:rPr>
        <w:t>python model/test_model.py</w:t>
      </w:r>
      <w:r>
        <w:rPr>
          <w:rFonts w:ascii="Times New Roman" w:hAnsi="Times New Roman" w:eastAsia="宋体"/>
          <w:sz w:val="21"/>
        </w:rPr>
        <w:t xml:space="preserve"> 运行 </w:t>
      </w:r>
      <w:r>
        <w:rPr>
          <w:rFonts w:ascii="Times New Roman" w:hAnsi="Times New Roman" w:eastAsia="宋体"/>
          <w:b/>
          <w:sz w:val="21"/>
        </w:rPr>
        <w:t>55 项检查</w:t>
      </w:r>
      <w:r>
        <w:rPr>
          <w:rFonts w:ascii="Times New Roman" w:hAnsi="Times New Roman" w:eastAsia="宋体"/>
          <w:sz w:val="21"/>
        </w:rPr>
        <w:t>，覆盖显存约束、访存物理上界、专家覆盖率自洽、插值在标定点的复现性、盈亏平衡与 crossover 的解析关系、会计恒等式、清算期归零、IRR 求解器对照。任何一项失败即以非零码退出。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"每个数字可回溯"这句话本身也可执行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Times New Roman" w:hAnsi="Times New Roman" w:eastAsia="宋体"/>
          <w:sz w:val="21"/>
        </w:rPr>
        <w:t>`verify.py`</w:t>
      </w:r>
      <w:r>
        <w:rPr>
          <w:rFonts w:ascii="Times New Roman" w:hAnsi="Times New Roman" w:eastAsia="宋体"/>
          <w:color w:val="606060"/>
          <w:sz w:val="18"/>
        </w:rPr>
        <w:t>（verify.py）</w:t>
      </w:r>
      <w:r>
        <w:rPr>
          <w:rFonts w:ascii="Times New Roman" w:hAnsi="Times New Roman" w:eastAsia="宋体"/>
          <w:sz w:val="21"/>
        </w:rPr>
        <w:t xml:space="preserve"> 把正文里的数字逐一与 </w:t>
      </w:r>
      <w:r>
        <w:rPr>
          <w:rFonts w:ascii="Consolas" w:hAnsi="Consolas" w:eastAsia="Consolas"/>
          <w:sz w:val="20"/>
        </w:rPr>
        <w:t>outputs/</w:t>
      </w:r>
      <w:r>
        <w:rPr>
          <w:rFonts w:ascii="Times New Roman" w:hAnsi="Times New Roman" w:eastAsia="宋体"/>
          <w:sz w:val="21"/>
        </w:rPr>
        <w:t xml:space="preserve"> 比对，并检查残留占位符与失效引用。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复算方式：</w:t>
      </w:r>
    </w:p>
    <w:p>
      <w:pPr>
        <w:spacing w:before="80" w:after="160" w:line="276" w:lineRule="auto"/>
        <w:ind w:left="227"/>
        <w:shd w:val="clear" w:color="auto" w:fill="F2F3F5"/>
      </w:pPr>
      <w:r>
        <w:rPr>
          <w:rFonts w:ascii="Consolas" w:hAnsi="Consolas" w:eastAsia="Consolas"/>
          <w:sz w:val="17"/>
        </w:rPr>
        <w:t>cd reports/sea-b300-kimi-k3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pip install -r requirements.txt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model/test_model.py     # 55 项模型自检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model/run_all.py        # 自检 + 重新生成全部 outputs/</w:t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python verify.py               # 报告数字回溯核对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已知无法查证的输入</w:t>
      </w:r>
      <w:r>
        <w:rPr>
          <w:rFonts w:ascii="Times New Roman" w:hAnsi="Times New Roman" w:eastAsia="宋体"/>
          <w:sz w:val="21"/>
        </w:rPr>
        <w:t xml:space="preserve">（价格侵蚀率、利用率爬坡、中断危险率、押金与租期、各国托管实际报价）全部集中在 </w:t>
      </w:r>
      <w:r>
        <w:rPr>
          <w:rFonts w:ascii="Consolas" w:hAnsi="Consolas" w:eastAsia="Consolas"/>
          <w:sz w:val="20"/>
        </w:rPr>
        <w:t>params.yaml</w:t>
      </w:r>
      <w:r>
        <w:rPr>
          <w:rFonts w:ascii="Times New Roman" w:hAnsi="Times New Roman" w:eastAsia="宋体"/>
          <w:sz w:val="21"/>
        </w:rPr>
        <w:t xml:space="preserve"> 的 </w:t>
      </w:r>
      <w:r>
        <w:rPr>
          <w:rFonts w:ascii="Consolas" w:hAnsi="Consolas" w:eastAsia="Consolas"/>
          <w:sz w:val="20"/>
        </w:rPr>
        <w:t>assumptions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Consolas" w:hAnsi="Consolas" w:eastAsia="Consolas"/>
          <w:sz w:val="20"/>
        </w:rPr>
        <w:t>gaps</w:t>
      </w:r>
      <w:r>
        <w:rPr>
          <w:rFonts w:ascii="Times New Roman" w:hAnsi="Times New Roman" w:eastAsia="宋体"/>
          <w:sz w:val="21"/>
        </w:rPr>
        <w:t xml:space="preserve"> 段，明确标记为假设或缺口，并全部纳入敏感性分析。它们是推测，不是事实。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三、Gate 0：三层管制筛查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把"美国对 GPU 的管制"当成一个整体，是选址分析最常见的错误。它至少是三套独立规则，触发条件不同、能否用选址规避也不同。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8148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_compliance_g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1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3.1 层一：实体属性（换国家无效）</w:t>
      </w:r>
    </w:p>
    <w:p>
      <w:pPr>
        <w:spacing w:after="120" w:line="324" w:lineRule="auto"/>
      </w:pPr>
      <w:hyperlink r:id="rId15">
        <w:r>
          <w:rPr>
            <w:rFonts w:ascii="Times New Roman" w:hAnsi="Times New Roman" w:eastAsia="宋体"/>
            <w:sz w:val="21"/>
            <w:color w:val="1155CC"/>
            <w:u w:val="single"/>
          </w:rPr>
          <w:t xml:space="preserve">BIS 2026-05-31 指引</w:t>
        </w:r>
      </w:hyperlink>
      <w:r>
        <w:rPr>
          <w:rFonts w:ascii="Times New Roman" w:hAnsi="Times New Roman" w:eastAsia="宋体"/>
          <w:sz w:val="21"/>
        </w:rPr>
        <w:t xml:space="preserve"> 原文：许可要求适用于 "</w:t>
      </w:r>
      <w:r>
        <w:rPr>
          <w:rFonts w:ascii="Times New Roman" w:hAnsi="Times New Roman" w:eastAsia="宋体"/>
          <w:b/>
          <w:sz w:val="21"/>
        </w:rPr>
        <w:t>all destinations outside the United States</w:t>
      </w:r>
      <w:r>
        <w:rPr>
          <w:rFonts w:ascii="Times New Roman" w:hAnsi="Times New Roman" w:eastAsia="宋体"/>
          <w:sz w:val="21"/>
        </w:rPr>
        <w:t>"，触发条件是实体</w:t>
      </w:r>
      <w:r>
        <w:rPr>
          <w:rFonts w:ascii="Times New Roman" w:hAnsi="Times New Roman" w:eastAsia="宋体"/>
          <w:b/>
          <w:sz w:val="21"/>
        </w:rPr>
        <w:t>总部或其最终母公司总部</w:t>
      </w:r>
      <w:r>
        <w:rPr>
          <w:rFonts w:ascii="Times New Roman" w:hAnsi="Times New Roman" w:eastAsia="宋体"/>
          <w:sz w:val="21"/>
        </w:rPr>
        <w:t>位于 Country Group D:5 或澳门。Greenberg Traurig 的解读点得更直白：无论接收方在新加坡、阿联酋还是马来西亚，一样适用。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指引同时留了一条：善意数据中心运营商对</w:t>
      </w:r>
      <w:r>
        <w:rPr>
          <w:rFonts w:ascii="Times New Roman" w:hAnsi="Times New Roman" w:eastAsia="宋体"/>
          <w:b/>
          <w:sz w:val="21"/>
        </w:rPr>
        <w:t>存量</w:t>
      </w:r>
      <w:r>
        <w:rPr>
          <w:rFonts w:ascii="Times New Roman" w:hAnsi="Times New Roman" w:eastAsia="宋体"/>
          <w:sz w:val="21"/>
        </w:rPr>
        <w:t>物项的持续使用、存储、处置、维护，在 BIS 另行通知前无需停止。这条对新增部署不适用。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本报告不替用户假设主体结构。</w:t>
      </w:r>
      <w:r>
        <w:rPr>
          <w:rFonts w:ascii="Times New Roman" w:hAnsi="Times New Roman" w:eastAsia="宋体"/>
          <w:sz w:val="21"/>
        </w:rPr>
        <w:t xml:space="preserve"> 模型中该项返回 </w:t>
      </w:r>
      <w:r>
        <w:rPr>
          <w:rFonts w:ascii="Consolas" w:hAnsi="Consolas" w:eastAsia="Consolas"/>
          <w:sz w:val="20"/>
        </w:rPr>
        <w:t>undetermined</w:t>
      </w:r>
      <w:r>
        <w:rPr>
          <w:rFonts w:ascii="Times New Roman" w:hAnsi="Times New Roman" w:eastAsia="宋体"/>
          <w:sz w:val="21"/>
        </w:rPr>
        <w:t>，两个分支并列呈现（</w:t>
      </w:r>
      <w:r>
        <w:rPr>
          <w:rFonts w:ascii="Times New Roman" w:hAnsi="Times New Roman" w:eastAsia="宋体"/>
          <w:sz w:val="21"/>
        </w:rPr>
        <w:t>`model/compliance_screen.py`</w:t>
      </w:r>
      <w:r>
        <w:rPr>
          <w:rFonts w:ascii="Times New Roman" w:hAnsi="Times New Roman" w:eastAsia="宋体"/>
          <w:color w:val="606060"/>
          <w:sz w:val="18"/>
        </w:rPr>
        <w:t>（model/compliance_screen.py）</w:t>
      </w:r>
      <w:r>
        <w:rPr>
          <w:rFonts w:ascii="Times New Roman" w:hAnsi="Times New Roman" w:eastAsia="宋体"/>
          <w:sz w:val="21"/>
        </w:rPr>
        <w:t xml:space="preserve"> 的 </w:t>
      </w:r>
      <w:r>
        <w:rPr>
          <w:rFonts w:ascii="Consolas" w:hAnsi="Consolas" w:eastAsia="Consolas"/>
          <w:sz w:val="20"/>
        </w:rPr>
        <w:t>layer1_entity_gate</w:t>
      </w:r>
      <w:r>
        <w:rPr>
          <w:rFonts w:ascii="Times New Roman" w:hAnsi="Times New Roman" w:eastAsia="宋体"/>
          <w:sz w:val="21"/>
        </w:rPr>
        <w:t>）。这是能力边界：法律定性须由持牌出口管制律师出具意见。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3.2 层二：目的地属性（换国家有效）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（见 </w:t>
      </w:r>
      <w:r>
        <w:rPr>
          <w:rFonts w:ascii="Times New Roman" w:hAnsi="Times New Roman" w:eastAsia="宋体"/>
          <w:sz w:val="21"/>
        </w:rPr>
        <w:t>`outputs/01_screen_layer2_destination.csv`</w:t>
      </w:r>
      <w:r>
        <w:rPr>
          <w:rFonts w:ascii="Times New Roman" w:hAnsi="Times New Roman" w:eastAsia="宋体"/>
          <w:color w:val="606060"/>
          <w:sz w:val="18"/>
        </w:rPr>
        <w:t>（outputs/01_screen_layer2_destination.csv）</w:t>
      </w:r>
      <w:r>
        <w:rPr>
          <w:rFonts w:ascii="Times New Roman" w:hAnsi="Times New Roman" w:eastAsia="宋体"/>
          <w:sz w:val="21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Country Group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缅甸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D:1, D:5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排除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东南亚唯一仍在 D:5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柬埔寨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D:1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排除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2026-02-03 移出 D:5，但仍在 D:1，§744.21/744.22 继续适用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越南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D:1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排除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2016 年移出 D:5 但仍在 D:1。FPT 已有 B300 现货仍不可用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老挝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D:1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排除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在 D:1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 / 泰国 / 印尼 / 菲律宾 / 新加坡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未见于所查节录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候选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须律师确认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诚实标注：后五国的 Group 归属是"在所查 EAR 附录节录中未见其出现在 Group D 任一列"，而非"已确认不在"。模型中该状态字段为 </w:t>
      </w:r>
      <w:r>
        <w:rPr>
          <w:rFonts w:ascii="Consolas" w:hAnsi="Consolas" w:eastAsia="Consolas"/>
          <w:sz w:val="20"/>
        </w:rPr>
        <w:t>unlisted_in_reviewed_excerpt</w:t>
      </w:r>
      <w:r>
        <w:rPr>
          <w:rFonts w:ascii="Times New Roman" w:hAnsi="Times New Roman" w:eastAsia="宋体"/>
          <w:sz w:val="21"/>
        </w:rPr>
        <w:t xml:space="preserve">，不是 </w:t>
      </w:r>
      <w:r>
        <w:rPr>
          <w:rFonts w:ascii="Consolas" w:hAnsi="Consolas" w:eastAsia="Consolas"/>
          <w:sz w:val="20"/>
        </w:rPr>
        <w:t>verified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3.3 层三：东道国自身管制（很多人会漏掉）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马来西亚 </w:t>
      </w:r>
      <w:hyperlink r:id="rId16">
        <w:r>
          <w:rPr>
            <w:rFonts w:ascii="Times New Roman" w:hAnsi="Times New Roman" w:eastAsia="宋体"/>
            <w:sz w:val="21"/>
            <w:color w:val="1155CC"/>
            <w:u w:val="single"/>
          </w:rPr>
          <w:t xml:space="preserve">MITI Directive No. 1/2025</w:t>
        </w:r>
      </w:hyperlink>
      <w:r>
        <w:rPr>
          <w:rFonts w:ascii="Times New Roman" w:hAnsi="Times New Roman" w:eastAsia="宋体"/>
          <w:sz w:val="21"/>
        </w:rPr>
        <w:t>（2025-07-14 起生效至今）：美国原产高性能 AI 芯片的</w:t>
      </w:r>
      <w:r>
        <w:rPr>
          <w:rFonts w:ascii="Times New Roman" w:hAnsi="Times New Roman" w:eastAsia="宋体"/>
          <w:b/>
          <w:sz w:val="21"/>
        </w:rPr>
        <w:t>出口、转运、过境</w:t>
      </w:r>
      <w:r>
        <w:rPr>
          <w:rFonts w:ascii="Times New Roman" w:hAnsi="Times New Roman" w:eastAsia="宋体"/>
          <w:sz w:val="21"/>
        </w:rPr>
        <w:t>须申领战略贸易许可，提前 30 天提交 AICA 表，</w:t>
      </w:r>
      <w:r>
        <w:rPr>
          <w:rFonts w:ascii="Times New Roman" w:hAnsi="Times New Roman" w:eastAsia="宋体"/>
          <w:b/>
          <w:sz w:val="21"/>
        </w:rPr>
        <w:t>许可申请须附美国再出口许可与制造商 ECCN 分类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两点必须讲准：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它不是绕道，是第二道闸。</w:t>
      </w:r>
      <w:r>
        <w:rPr>
          <w:rFonts w:ascii="Times New Roman" w:hAnsi="Times New Roman" w:eastAsia="宋体"/>
          <w:sz w:val="21"/>
        </w:rPr>
        <w:t xml:space="preserve"> 要求附美国再出口许可，等于马来西亚在前置执行美国制度。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它列举的行为是出口/转运/过境，不含"进口后在本国部署使用"。</w:t>
      </w:r>
      <w:r>
        <w:rPr>
          <w:rFonts w:ascii="Times New Roman" w:hAnsi="Times New Roman" w:eastAsia="宋体"/>
          <w:sz w:val="21"/>
        </w:rPr>
        <w:t xml:space="preserve"> 作为算力客户，我方通常不是该指令的义务主体；义务主体是搬运芯片的一方。但这一定性仍须当地律师确认。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泰国、印尼、菲律宾是否有对等制度</w:t>
      </w:r>
      <w:r>
        <w:rPr>
          <w:rFonts w:ascii="Times New Roman" w:hAnsi="Times New Roman" w:eastAsia="宋体"/>
          <w:b/>
          <w:sz w:val="21"/>
        </w:rPr>
        <w:t>未核实</w:t>
      </w:r>
      <w:r>
        <w:rPr>
          <w:rFonts w:ascii="Times New Roman" w:hAnsi="Times New Roman" w:eastAsia="宋体"/>
          <w:sz w:val="21"/>
        </w:rPr>
        <w:t>（缺口 G-4）。模型中这三国的层三状态标为"未核实（不得据此认定无管制）"，自检有一条专门防止把它误报为"无管制"。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另外，马来西亚与泰国自 2025-07 起就是美国点名的转运关注对象，存在</w:t>
      </w:r>
      <w:r>
        <w:rPr>
          <w:rFonts w:ascii="Times New Roman" w:hAnsi="Times New Roman" w:eastAsia="宋体"/>
          <w:b/>
          <w:sz w:val="21"/>
        </w:rPr>
        <w:t>监管突变风险</w:t>
      </w:r>
      <w:r>
        <w:rPr>
          <w:rFonts w:ascii="Times New Roman" w:hAnsi="Times New Roman" w:eastAsia="宋体"/>
          <w:sz w:val="21"/>
        </w:rPr>
        <w:t>——而租约是 36 个月。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3.4 Kimi K3 许可证：绿灯，但有一个需自查的点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逐条对照 </w:t>
      </w:r>
      <w:hyperlink r:id="rId17">
        <w:r>
          <w:rPr>
            <w:rFonts w:ascii="Times New Roman" w:hAnsi="Times New Roman" w:eastAsia="宋体"/>
            <w:sz w:val="21"/>
            <w:color w:val="1155CC"/>
            <w:u w:val="single"/>
          </w:rPr>
          <w:t xml:space="preserve">LICENSE 原文</w:t>
        </w:r>
      </w:hyperlink>
      <w:r>
        <w:rPr>
          <w:rFonts w:ascii="Times New Roman" w:hAnsi="Times New Roman" w:eastAsia="宋体"/>
          <w:sz w:val="21"/>
        </w:rPr>
        <w:t>：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§2 MaaS</w:t>
      </w:r>
      <w:r>
        <w:rPr>
          <w:rFonts w:ascii="Times New Roman" w:hAnsi="Times New Roman" w:eastAsia="宋体"/>
          <w:sz w:val="21"/>
        </w:rPr>
        <w:t>：本项目</w:t>
      </w:r>
      <w:r>
        <w:rPr>
          <w:rFonts w:ascii="Times New Roman" w:hAnsi="Times New Roman" w:eastAsia="宋体"/>
          <w:b/>
          <w:sz w:val="21"/>
        </w:rPr>
        <w:t>确实落入</w:t>
      </w:r>
      <w:r>
        <w:rPr>
          <w:rFonts w:ascii="Times New Roman" w:hAnsi="Times New Roman" w:eastAsia="宋体"/>
          <w:sz w:val="21"/>
        </w:rPr>
        <w:t xml:space="preserve"> MaaS 定义（通过 API 使第三方对输入与参数有实质控制）。但触发"另签协议"需</w:t>
      </w:r>
      <w:r>
        <w:rPr>
          <w:rFonts w:ascii="Times New Roman" w:hAnsi="Times New Roman" w:eastAsia="宋体"/>
          <w:b/>
          <w:sz w:val="21"/>
        </w:rPr>
        <w:t>同时</w:t>
      </w:r>
      <w:r>
        <w:rPr>
          <w:rFonts w:ascii="Times New Roman" w:hAnsi="Times New Roman" w:eastAsia="宋体"/>
          <w:sz w:val="21"/>
        </w:rPr>
        <w:t>满足第二个条件：被许可方</w:t>
      </w:r>
      <w:r>
        <w:rPr>
          <w:rFonts w:ascii="Times New Roman" w:hAnsi="Times New Roman" w:eastAsia="宋体"/>
          <w:b/>
          <w:sz w:val="21"/>
        </w:rPr>
        <w:t>及其关联方合计</w:t>
      </w:r>
      <w:r>
        <w:rPr>
          <w:rFonts w:ascii="Times New Roman" w:hAnsi="Times New Roman" w:eastAsia="宋体"/>
          <w:sz w:val="21"/>
        </w:rPr>
        <w:t xml:space="preserve">连续 12 个月收入超过 </w:t>
      </w:r>
      <w:r>
        <w:rPr>
          <w:rFonts w:ascii="Times New Roman" w:hAnsi="Times New Roman" w:eastAsia="宋体"/>
          <w:b/>
          <w:sz w:val="21"/>
        </w:rPr>
        <w:t>2,000 万美元</w:t>
      </w:r>
      <w:r>
        <w:rPr>
          <w:rFonts w:ascii="Times New Roman" w:hAnsi="Times New Roman" w:eastAsia="宋体"/>
          <w:sz w:val="21"/>
        </w:rPr>
        <w:t>。注意分母是集团合计收入，不是 K3 业务收入。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§3 署名</w:t>
      </w:r>
      <w:r>
        <w:rPr>
          <w:rFonts w:ascii="Times New Roman" w:hAnsi="Times New Roman" w:eastAsia="宋体"/>
          <w:sz w:val="21"/>
        </w:rPr>
        <w:t>：仅在单一产品 &gt;1 亿 MAU 或 &gt;2,000 万美元月收入时要求 UI 显著展示 "Kimi K3"。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§4 豁免</w:t>
      </w:r>
      <w:r>
        <w:rPr>
          <w:rFonts w:ascii="Times New Roman" w:hAnsi="Times New Roman" w:eastAsia="宋体"/>
          <w:sz w:val="21"/>
        </w:rPr>
        <w:t>：纯内部使用、经 Moonshot 官方产品或"认证推理伙伴"使用，豁免 §2/§3。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判定：本项目远低于收入门槛，可免费商用与转售，无需另签协议、无需付费。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需你自查的一点</w:t>
      </w:r>
      <w:r>
        <w:rPr>
          <w:rFonts w:ascii="Times New Roman" w:hAnsi="Times New Roman" w:eastAsia="宋体"/>
          <w:sz w:val="21"/>
        </w:rPr>
        <w:t xml:space="preserve">：你及关联方过去 12 个月合计收入是否已超 2,000 万美元。若已超过，须先与 Moonshot 另签协议才能商用。模型在收入未披露时返回 </w:t>
      </w:r>
      <w:r>
        <w:rPr>
          <w:rFonts w:ascii="Consolas" w:hAnsi="Consolas" w:eastAsia="Consolas"/>
          <w:sz w:val="20"/>
        </w:rPr>
        <w:t>undetermined</w:t>
      </w:r>
      <w:r>
        <w:rPr>
          <w:rFonts w:ascii="Times New Roman" w:hAnsi="Times New Roman" w:eastAsia="宋体"/>
          <w:sz w:val="21"/>
        </w:rPr>
        <w:t>，不替用户假设。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四、租金交叉验证：这是哪里的价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4.1 三条独立路径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路径 A：出租方成本自下而上反推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Times New Roman" w:hAnsi="Times New Roman" w:eastAsia="宋体"/>
          <w:sz w:val="21"/>
        </w:rPr>
        <w:t>`outputs/02_lessor_cost_buildup.csv`</w:t>
      </w:r>
      <w:r>
        <w:rPr>
          <w:rFonts w:ascii="Times New Roman" w:hAnsi="Times New Roman" w:eastAsia="宋体"/>
          <w:color w:val="606060"/>
          <w:sz w:val="18"/>
        </w:rPr>
        <w:t>（outputs/02_lessor_cost_buildup.csv）</w:t>
      </w:r>
      <w:r>
        <w:rPr>
          <w:rFonts w:ascii="Times New Roman" w:hAnsi="Times New Roman" w:eastAsia="宋体"/>
          <w:sz w:val="21"/>
        </w:rPr>
        <w:t>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成本构成：硬件等额本息月供（36 个月摊销、年化 12% 融资）+ 托管（合约功率 15 kW × 每 kW 月价）+ 电费（15 kW × 85% 负载 × 730 h × PUE 1.25 × 电价）+ 网络 $1,000。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情形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摊销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托管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电费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网络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合计成本</w:t>
            </w:r>
          </w:p>
        </w:tc>
        <w:tc>
          <w:tcPr>
            <w:tcW w:type="dxa" w:w="131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出租方毛利率</w:t>
            </w:r>
          </w:p>
        </w:tc>
      </w:tr>
      <w:tr>
        <w:tc>
          <w:tcPr>
            <w:tcW w:type="dxa" w:w="131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马来西亚 硬件低位 $40 万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$13,286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$3,923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$1,454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$1,000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$19,663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+11.0%</w:t>
            </w:r>
          </w:p>
        </w:tc>
      </w:tr>
      <w:tr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马来西亚 硬件中位 $50 万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$16,607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$3,923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$1,454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$1,000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$22,985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−4.1%</w:t>
            </w:r>
          </w:p>
        </w:tc>
      </w:tr>
      <w:tr>
        <w:tc>
          <w:tcPr>
            <w:tcW w:type="dxa" w:w="131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新加坡 硬件低位 $40 万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$13,286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$6,045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$1,745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$1,000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$22,076</w:t>
            </w:r>
          </w:p>
        </w:tc>
        <w:tc>
          <w:tcPr>
            <w:tcW w:type="dxa" w:w="131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+0.04%</w:t>
            </w:r>
          </w:p>
        </w:tc>
      </w:tr>
      <w:tr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新加坡 硬件中位 $50 万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$16,607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$6,045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$1,745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$1,000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$25,397</w:t>
            </w:r>
          </w:p>
        </w:tc>
        <w:tc>
          <w:tcPr>
            <w:tcW w:type="dxa" w:w="131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−15.0%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（"出租方毛利率" = 1 − 成本 ÷ 我方租金。另一个口径"我方租金低于其成本的比例" = 1 − 我方租金 ÷ 成本，马来西亚中位为 </w:t>
      </w:r>
      <w:r>
        <w:rPr>
          <w:rFonts w:ascii="Times New Roman" w:hAnsi="Times New Roman" w:eastAsia="宋体"/>
          <w:b/>
          <w:sz w:val="21"/>
        </w:rPr>
        <w:t>3.9%</w:t>
      </w:r>
      <w:r>
        <w:rPr>
          <w:rFonts w:ascii="Times New Roman" w:hAnsi="Times New Roman" w:eastAsia="宋体"/>
          <w:sz w:val="21"/>
        </w:rPr>
        <w:t xml:space="preserve">、新加坡中位为 </w:t>
      </w:r>
      <w:r>
        <w:rPr>
          <w:rFonts w:ascii="Times New Roman" w:hAnsi="Times New Roman" w:eastAsia="宋体"/>
          <w:b/>
          <w:sz w:val="21"/>
        </w:rPr>
        <w:t>13.0%</w:t>
      </w:r>
      <w:r>
        <w:rPr>
          <w:rFonts w:ascii="Times New Roman" w:hAnsi="Times New Roman" w:eastAsia="宋体"/>
          <w:sz w:val="21"/>
        </w:rPr>
        <w:t>——两个数不同是因为分母不同，勿混用。）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路径 B：可比交易自上而下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Bit Origin（NASDAQ: BTOG）2026-06-29 公告：约 1,100 万美元买入 </w:t>
      </w:r>
      <w:r>
        <w:rPr>
          <w:rFonts w:ascii="Times New Roman" w:hAnsi="Times New Roman" w:eastAsia="宋体"/>
          <w:b/>
          <w:sz w:val="21"/>
        </w:rPr>
        <w:t>16 台 B300 服务器</w:t>
      </w:r>
      <w:r>
        <w:rPr>
          <w:rFonts w:ascii="Times New Roman" w:hAnsi="Times New Roman" w:eastAsia="宋体"/>
          <w:sz w:val="21"/>
        </w:rPr>
        <w:t>，2026 Q3 交付后部署于</w:t>
      </w:r>
      <w:r>
        <w:rPr>
          <w:rFonts w:ascii="Times New Roman" w:hAnsi="Times New Roman" w:eastAsia="宋体"/>
          <w:b/>
          <w:sz w:val="21"/>
        </w:rPr>
        <w:t>马来西亚</w:t>
      </w:r>
      <w:r>
        <w:rPr>
          <w:rFonts w:ascii="Times New Roman" w:hAnsi="Times New Roman" w:eastAsia="宋体"/>
          <w:sz w:val="21"/>
        </w:rPr>
        <w:t>数据中心，公开披露预期</w:t>
      </w:r>
      <w:r>
        <w:rPr>
          <w:rFonts w:ascii="Times New Roman" w:hAnsi="Times New Roman" w:eastAsia="宋体"/>
          <w:b/>
          <w:sz w:val="21"/>
        </w:rPr>
        <w:t>月收入约 36 万美元</w:t>
      </w:r>
      <w:r>
        <w:rPr>
          <w:rFonts w:ascii="Times New Roman" w:hAnsi="Times New Roman" w:eastAsia="宋体"/>
          <w:sz w:val="21"/>
        </w:rPr>
        <w:t>（未扣运营费用）。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 xml:space="preserve">每台每月租金：$360,000 ÷ 16 = </w:t>
      </w:r>
      <w:r>
        <w:rPr>
          <w:rFonts w:ascii="Times New Roman" w:hAnsi="Times New Roman" w:eastAsia="宋体"/>
          <w:b/>
          <w:sz w:val="21"/>
        </w:rPr>
        <w:t>$22,500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 xml:space="preserve">本项目：¥150,000 ÷ 6.7917 = </w:t>
      </w:r>
      <w:r>
        <w:rPr>
          <w:rFonts w:ascii="Times New Roman" w:hAnsi="Times New Roman" w:eastAsia="宋体"/>
          <w:b/>
          <w:sz w:val="21"/>
        </w:rPr>
        <w:t>$22,085.78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偏差 −1.84%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 xml:space="preserve">反解硬件单价：$11,000,000 ÷ 16 = </w:t>
      </w:r>
      <w:r>
        <w:rPr>
          <w:rFonts w:ascii="Times New Roman" w:hAnsi="Times New Roman" w:eastAsia="宋体"/>
          <w:b/>
          <w:sz w:val="21"/>
        </w:rPr>
        <w:t>$687,500/台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sz w:val="21"/>
        </w:rPr>
        <w:t xml:space="preserve">硬件毛收益率：$22,500 × 12 ÷ $687,500 = </w:t>
      </w:r>
      <w:r>
        <w:rPr>
          <w:rFonts w:ascii="Times New Roman" w:hAnsi="Times New Roman" w:eastAsia="宋体"/>
          <w:b/>
          <w:sz w:val="21"/>
        </w:rPr>
        <w:t>39.3%/年</w:t>
      </w:r>
      <w:r>
        <w:rPr>
          <w:rFonts w:ascii="Times New Roman" w:hAnsi="Times New Roman" w:eastAsia="宋体"/>
          <w:sz w:val="21"/>
        </w:rPr>
        <w:t xml:space="preserve">，收回硬件成本需 </w:t>
      </w:r>
      <w:r>
        <w:rPr>
          <w:rFonts w:ascii="Times New Roman" w:hAnsi="Times New Roman" w:eastAsia="宋体"/>
          <w:b/>
          <w:sz w:val="21"/>
        </w:rPr>
        <w:t>30.6 个月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路径 C：第三方挂牌价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Times New Roman" w:hAnsi="Times New Roman" w:eastAsia="宋体"/>
          <w:sz w:val="21"/>
        </w:rPr>
        <w:t>`outputs/02_rent_benchmarks.csv`</w:t>
      </w:r>
      <w:r>
        <w:rPr>
          <w:rFonts w:ascii="Times New Roman" w:hAnsi="Times New Roman" w:eastAsia="宋体"/>
          <w:color w:val="606060"/>
          <w:sz w:val="18"/>
        </w:rPr>
        <w:t>（outputs/02_rent_benchmarks.csv）</w:t>
      </w:r>
      <w:r>
        <w:rPr>
          <w:rFonts w:ascii="Times New Roman" w:hAnsi="Times New Roman" w:eastAsia="宋体"/>
          <w:sz w:val="21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参照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地区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月租 USD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每卡·小时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相对本项目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中国境内 3 年长协（星宇）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中国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$15,902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$2.72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0.72×</w:t>
            </w:r>
          </w:p>
        </w:tc>
      </w:tr>
      <w:tr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本项目给定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东南亚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$22,086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$3.78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1.00×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中国境内长单（雪球调研）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中国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$22,086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$3.78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1.00×</w:t>
            </w:r>
          </w:p>
        </w:tc>
      </w:tr>
      <w:tr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Bit Origin 可比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马来西亚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$22,500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$3.85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1.02×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中国境内现货中位（至顶）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中国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$27,975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$4.79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1.27×</w:t>
            </w:r>
          </w:p>
        </w:tc>
      </w:tr>
      <w:tr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Qubrid 挂牌裸金属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美国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$32,450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$5.56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1.47×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中国境内现货高配（悍铭）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中国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$39,018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$6.68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1.77×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4.2 结论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三条路径一致：</w:t>
      </w:r>
      <w:r>
        <w:rPr>
          <w:rFonts w:ascii="Times New Roman" w:hAnsi="Times New Roman" w:eastAsia="宋体"/>
          <w:b/>
          <w:sz w:val="21"/>
        </w:rPr>
        <w:t>¥150,000/月 是马来西亚级的市场价，同时也恰好等于中国境内的"长单"价位，但它低于按硬件中位成本反推的出租方成本线。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这个价可得，但没有议价红利，且隐含两件事：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必然绑定长租期、押金与预付。</w:t>
      </w:r>
      <w:r>
        <w:rPr>
          <w:rFonts w:ascii="Times New Roman" w:hAnsi="Times New Roman" w:eastAsia="宋体"/>
          <w:sz w:val="21"/>
        </w:rPr>
        <w:t xml:space="preserve"> 只有长约才能取到这个价位，而长约的代价在第 1.1 节结论五已量化。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交易对手风险。</w:t>
      </w:r>
      <w:r>
        <w:rPr>
          <w:rFonts w:ascii="Times New Roman" w:hAnsi="Times New Roman" w:eastAsia="宋体"/>
          <w:sz w:val="21"/>
        </w:rPr>
        <w:t xml:space="preserve"> 出租方在这个价位上的毛利为 −3.9% 到 +11.0%，取决于其硬件取得成本。</w:t>
      </w:r>
      <w:r>
        <w:rPr>
          <w:rFonts w:ascii="Times New Roman" w:hAnsi="Times New Roman" w:eastAsia="宋体"/>
          <w:b/>
          <w:sz w:val="21"/>
        </w:rPr>
        <w:t>对方的偿付能力与硬件来源是我方的实质风险，必须尽调。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五、选址对比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（完整八维矩阵见 </w:t>
      </w:r>
      <w:r>
        <w:rPr>
          <w:rFonts w:ascii="Times New Roman" w:hAnsi="Times New Roman" w:eastAsia="宋体"/>
          <w:sz w:val="21"/>
        </w:rPr>
        <w:t>`03-选址对比矩阵.md`</w:t>
      </w:r>
      <w:r>
        <w:rPr>
          <w:rFonts w:ascii="Times New Roman" w:hAnsi="Times New Roman" w:eastAsia="宋体"/>
          <w:color w:val="606060"/>
          <w:sz w:val="18"/>
        </w:rPr>
        <w:t>（03-选址对比矩阵.md）</w:t>
      </w:r>
      <w:r>
        <w:rPr>
          <w:rFonts w:ascii="Times New Roman" w:hAnsi="Times New Roman" w:eastAsia="宋体"/>
          <w:sz w:val="21"/>
        </w:rPr>
        <w:t xml:space="preserve"> 与 </w:t>
      </w:r>
      <w:r>
        <w:rPr>
          <w:rFonts w:ascii="Times New Roman" w:hAnsi="Times New Roman" w:eastAsia="宋体"/>
          <w:sz w:val="21"/>
        </w:rPr>
        <w:t>`outputs/03_siting_matrix.csv`</w:t>
      </w:r>
      <w:r>
        <w:rPr>
          <w:rFonts w:ascii="Times New Roman" w:hAnsi="Times New Roman" w:eastAsia="宋体"/>
          <w:color w:val="606060"/>
          <w:sz w:val="18"/>
        </w:rPr>
        <w:t>（outputs/03_siting_matrix.csv）</w:t>
      </w:r>
      <w:r>
        <w:rPr>
          <w:rFonts w:ascii="Times New Roman" w:hAnsi="Times New Roman" w:eastAsia="宋体"/>
          <w:sz w:val="21"/>
        </w:rPr>
        <w:t>）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5.1 延迟：代价小到可以忽略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需求侧是全球开发者（经 OpenRouter 与自建 API），不是中国用户，因此参照点取美西与欧洲。Bifrost 海缆（2025 RFS）给出新加坡↔美西往返</w:t>
      </w:r>
      <w:r>
        <w:rPr>
          <w:rFonts w:ascii="Times New Roman" w:hAnsi="Times New Roman" w:eastAsia="宋体"/>
          <w:b/>
          <w:sz w:val="21"/>
        </w:rPr>
        <w:t>不到 165 ms</w:t>
      </w:r>
      <w:r>
        <w:rPr>
          <w:rFonts w:ascii="Times New Roman" w:hAnsi="Times New Roman" w:eastAsia="宋体"/>
          <w:sz w:val="21"/>
        </w:rPr>
        <w:t>；东南亚各国国际出口普遍经新加坡，吉隆坡与雅加达各 +15 ms、曼谷 +35 ms。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叠加到实测 TTFT（vLLM 直出 c=64，均值 731.7 ms）后：曼谷恶化 </w:t>
      </w:r>
      <w:r>
        <w:rPr>
          <w:rFonts w:ascii="Times New Roman" w:hAnsi="Times New Roman" w:eastAsia="宋体"/>
          <w:b/>
          <w:sz w:val="21"/>
        </w:rPr>
        <w:t>4.78%</w:t>
      </w:r>
      <w:r>
        <w:rPr>
          <w:rFonts w:ascii="Times New Roman" w:hAnsi="Times New Roman" w:eastAsia="宋体"/>
          <w:sz w:val="21"/>
        </w:rPr>
        <w:t xml:space="preserve">，吉隆坡与雅加达恶化 </w:t>
      </w:r>
      <w:r>
        <w:rPr>
          <w:rFonts w:ascii="Times New Roman" w:hAnsi="Times New Roman" w:eastAsia="宋体"/>
          <w:b/>
          <w:sz w:val="21"/>
        </w:rPr>
        <w:t>2.05%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但更该注意的是：P90 TTFT 在新加坡就已经是 1,107 ms，本身就超过 1 秒 SLO。</w:t>
      </w:r>
      <w:r>
        <w:rPr>
          <w:rFonts w:ascii="Times New Roman" w:hAnsi="Times New Roman" w:eastAsia="宋体"/>
          <w:sz w:val="21"/>
        </w:rPr>
        <w:t xml:space="preserve"> 这说明瓶颈在模型与并发，不在选址。选址的延迟代价是二阶小量。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本报告</w:t>
      </w:r>
      <w:r>
        <w:rPr>
          <w:rFonts w:ascii="Times New Roman" w:hAnsi="Times New Roman" w:eastAsia="宋体"/>
          <w:b/>
          <w:sz w:val="21"/>
        </w:rPr>
        <w:t>不构造"延迟→流量份额"的弹性</w:t>
      </w:r>
      <w:r>
        <w:rPr>
          <w:rFonts w:ascii="Times New Roman" w:hAnsi="Times New Roman" w:eastAsia="宋体"/>
          <w:sz w:val="21"/>
        </w:rPr>
        <w:t>——那个映射没有公开数据（缺口 G-6），编一个出来会让整条结论链失去可检验性。因此延迟只用于 SLO 阈值的通过与否判断。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5.2 议价能力：空置率比电价重要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空置率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市场性质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 曼谷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23.3%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买方市场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印尼 雅加达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20.5%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买方市场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4.9%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卖方市场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 柔佛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0.7%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极度卖方市场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柔佛电价（$0.12–0.13/kWh）确实低于新加坡（$0.15/kWh），但</w:t>
      </w:r>
      <w:r>
        <w:rPr>
          <w:rFonts w:ascii="Times New Roman" w:hAnsi="Times New Roman" w:eastAsia="宋体"/>
          <w:b/>
          <w:sz w:val="21"/>
        </w:rPr>
        <w:t>差距远小于普遍认知</w:t>
      </w:r>
      <w:r>
        <w:rPr>
          <w:rFonts w:ascii="Times New Roman" w:hAnsi="Times New Roman" w:eastAsia="宋体"/>
          <w:sz w:val="21"/>
        </w:rPr>
        <w:t>，且柔佛空置率仅 0.7%——比新加坡还紧张。真正的成本差异在托管租金与土地，而不在电费；而能否把成本差异转化为你的价格优势，取决于空置率。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一条须尽调而非直接否决的技术约束：B300 每卡 1,400 W、整机 14.5 kW，</w:t>
      </w:r>
      <w:r>
        <w:rPr>
          <w:rFonts w:ascii="Times New Roman" w:hAnsi="Times New Roman" w:eastAsia="宋体"/>
          <w:b/>
          <w:sz w:val="21"/>
        </w:rPr>
        <w:t>必须直接液冷</w:t>
      </w:r>
      <w:r>
        <w:rPr>
          <w:rFonts w:ascii="Times New Roman" w:hAnsi="Times New Roman" w:eastAsia="宋体"/>
          <w:sz w:val="21"/>
        </w:rPr>
        <w:t>；柔佛 2025-11 因干旱要求投资者推迟水冷扩建约 18 个月。须区分闭环 DLC 配干冷器与蒸发水冷——前者用水极少，后者才受限。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5.3 税负：注册地与算力地应当分离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30 万美元年利润下的税负对比（</w:t>
      </w:r>
      <w:r>
        <w:rPr>
          <w:rFonts w:ascii="Times New Roman" w:hAnsi="Times New Roman" w:eastAsia="宋体"/>
          <w:sz w:val="21"/>
        </w:rPr>
        <w:t>`outputs/03_structure_tax.csv`</w:t>
      </w:r>
      <w:r>
        <w:rPr>
          <w:rFonts w:ascii="Times New Roman" w:hAnsi="Times New Roman" w:eastAsia="宋体"/>
          <w:color w:val="606060"/>
          <w:sz w:val="18"/>
        </w:rPr>
        <w:t>（outputs/03_structure_tax.csv）</w:t>
      </w:r>
      <w:r>
        <w:rPr>
          <w:rFonts w:ascii="Times New Roman" w:hAnsi="Times New Roman" w:eastAsia="宋体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首年税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首年有效税率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第 4 年有效税率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新加坡主体（+ 任一算力地）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$17,212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5.74%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12.47%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泰国主体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$60,000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20.00%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20.00%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马来西亚主体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$72,000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24.00%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24.00%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新加坡 17% 标准税率叠加新创减免（前 3 个评估年首 S$10 万免 75%、次 S$10 万免 50%）与 YA2026 的 50% 税额回扣（上限 S$4 万），使首年有效税率降到 5.74%。出口服务在新加坡为零税率且可抵进项。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把这条放进 36 期滚动模型里，差异是实打实的（</w:t>
      </w:r>
      <w:r>
        <w:rPr>
          <w:rFonts w:ascii="Times New Roman" w:hAnsi="Times New Roman" w:eastAsia="宋体"/>
          <w:sz w:val="21"/>
        </w:rPr>
        <w:t>`outputs/07_cross_site.csv`</w:t>
      </w:r>
      <w:r>
        <w:rPr>
          <w:rFonts w:ascii="Times New Roman" w:hAnsi="Times New Roman" w:eastAsia="宋体"/>
          <w:color w:val="606060"/>
          <w:sz w:val="18"/>
        </w:rPr>
        <w:t>（outputs/07_cross_site.csv）</w:t>
      </w:r>
      <w:r>
        <w:rPr>
          <w:rFonts w:ascii="Times New Roman" w:hAnsi="Times New Roman" w:eastAsia="宋体"/>
          <w:sz w:val="21"/>
        </w:rPr>
        <w:t>，中性情景）：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算力地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注册新加坡：36 期累计税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注册当地：36 期累计税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分离结构的净收益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泰国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$5,945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$27,886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+$21,942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印度尼西亚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$5,945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$30,675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+$24,731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马来西亚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$5,945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$33,464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+$27,519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注册地与算力地分离，在 36 个月里值 2.2 万到 2.8 万美元</w:t>
      </w:r>
      <w:r>
        <w:rPr>
          <w:rFonts w:ascii="Times New Roman" w:hAnsi="Times New Roman" w:eastAsia="宋体"/>
          <w:sz w:val="21"/>
        </w:rPr>
        <w:t>——相当于初始资金 $132,515 的 17%–21%。这不是可以"以后再优化"的项。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5.4 一个决定同时解决两个问题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交易形态的选择</w:t>
      </w:r>
      <w:r>
        <w:rPr>
          <w:rFonts w:ascii="Times New Roman" w:hAnsi="Times New Roman" w:eastAsia="宋体"/>
          <w:sz w:val="21"/>
        </w:rPr>
        <w:t>同时影响出口管制定性与东道国常设机构风险，而且两者指向同一答案（</w:t>
      </w:r>
      <w:r>
        <w:rPr>
          <w:rFonts w:ascii="Times New Roman" w:hAnsi="Times New Roman" w:eastAsia="宋体"/>
          <w:sz w:val="21"/>
        </w:rPr>
        <w:t>`outputs/01_structure_recommendation.csv`</w:t>
      </w:r>
      <w:r>
        <w:rPr>
          <w:rFonts w:ascii="Times New Roman" w:hAnsi="Times New Roman" w:eastAsia="宋体"/>
          <w:color w:val="606060"/>
          <w:sz w:val="18"/>
        </w:rPr>
        <w:t>（outputs/01_structure_recommendation.csv）</w:t>
      </w:r>
      <w:r>
        <w:rPr>
          <w:rFonts w:ascii="Times New Roman" w:hAnsi="Times New Roman" w:eastAsia="宋体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交易形态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出口管制定性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常设机构风险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推荐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购买算力即服务</w:t>
            </w:r>
            <w:r>
              <w:rPr>
                <w:rFonts w:ascii="Times New Roman" w:hAnsi="Times New Roman" w:eastAsia="宋体"/>
                <w:sz w:val="18"/>
              </w:rPr>
              <w:t>（不占有不控制物项）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物项未离开出租方支配，历史上不视为物项出口/转让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低。无自有或自行支配的服务器</w:t>
            </w:r>
          </w:p>
        </w:tc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是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独占式裸金属租赁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可能构成 transfer (in-country)，须律师定性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较高。按 OECD 注释，自行支配运营的服务器可构成 PE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这不是巧合：两者判定的都是"你是否支配该物项"。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六、技术可行性与产能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6.1 装得下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K3 MXFP4 权重（实测）</w:t>
            </w:r>
          </w:p>
        </w:tc>
        <w:tc>
          <w:tcPr>
            <w:tcW w:type="dxa" w:w="459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1.57 TB（195.86 GB × 8 卡）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八卡可用显存（实测可见 267.69 GiB × 8）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2.2994 TB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余量</w:t>
            </w:r>
          </w:p>
        </w:tc>
        <w:tc>
          <w:tcPr>
            <w:tcW w:type="dxa" w:w="4592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0.729 TB（31.7%），用于 KV 缓存、KDA 状态与激活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单台八卡 B300 可运行满血 Kimi K3，无需多机。</w:t>
      </w:r>
      <w:r>
        <w:rPr>
          <w:rFonts w:ascii="Times New Roman" w:hAnsi="Times New Roman" w:eastAsia="宋体"/>
          <w:sz w:val="21"/>
        </w:rPr>
        <w:t xml:space="preserve"> 这在 2025 年还不成立——是 MXFP4 量化感知训练与 288 GB HBM3e 两项同时到位才使之可能。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可用显存取实测 267.69 GiB 而非标称 288 GB；用标称值会高估约 7%。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6.2 跑多快：三个实测点与两条护栏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81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hroughput_vs_con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吞吐随上下文衰减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模型不做外推，用三组第三方实测点标定，点间按</w:t>
      </w:r>
      <w:r>
        <w:rPr>
          <w:rFonts w:ascii="Times New Roman" w:hAnsi="Times New Roman" w:eastAsia="宋体"/>
          <w:b/>
          <w:sz w:val="21"/>
        </w:rPr>
        <w:t>分段幂律</w:t>
      </w:r>
      <w:r>
        <w:rPr>
          <w:rFonts w:ascii="Times New Roman" w:hAnsi="Times New Roman" w:eastAsia="宋体"/>
          <w:sz w:val="21"/>
        </w:rPr>
        <w:t>插值：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上下文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聚合解码吞吐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2,000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1,759 tok/s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Openzeka DGX-B300 TP8 vLLM 直出 c=64（未取 SGLang 的 1,863，保守）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65,536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501 tok/s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GPUStack 64K/c=10 vLLM 稳态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204,800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268 tok/s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GPUStack 200K/c=10 SGLang+DCP8（vLLM 为 163）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选幂律而非线性有两个理由：物理上上下文越长解码越被 KV 读取主导，吞吐趋近与上下文成反比；以及基准画像处幂律给出 1,049 tok/s 而线性给出 1,242 tok/s，</w:t>
      </w:r>
      <w:r>
        <w:rPr>
          <w:rFonts w:ascii="Times New Roman" w:hAnsi="Times New Roman" w:eastAsia="宋体"/>
          <w:b/>
          <w:sz w:val="21"/>
        </w:rPr>
        <w:t>宁可低估产能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护栏一：访存物理上界。</w:t>
      </w:r>
      <w:r>
        <w:rPr>
          <w:rFonts w:ascii="Times New Roman" w:hAnsi="Times New Roman" w:eastAsia="宋体"/>
          <w:sz w:val="21"/>
        </w:rPr>
        <w:t xml:space="preserve"> 八卡聚合带宽 64 TB/s，每个解码步至多把 1.57 TB 权重完整读一遍，故 c=64 时上界 </w:t>
      </w:r>
      <w:r>
        <w:rPr>
          <w:rFonts w:ascii="Times New Roman" w:hAnsi="Times New Roman" w:eastAsia="宋体"/>
          <w:b/>
          <w:sz w:val="21"/>
        </w:rPr>
        <w:t>2,609 tok/s</w:t>
      </w:r>
      <w:r>
        <w:rPr>
          <w:rFonts w:ascii="Times New Roman" w:hAnsi="Times New Roman" w:eastAsia="宋体"/>
          <w:sz w:val="21"/>
        </w:rPr>
        <w:t xml:space="preserve">。实测 1,759 为上界的 </w:t>
      </w:r>
      <w:r>
        <w:rPr>
          <w:rFonts w:ascii="Times New Roman" w:hAnsi="Times New Roman" w:eastAsia="宋体"/>
          <w:b/>
          <w:sz w:val="21"/>
        </w:rPr>
        <w:t>67.4%</w:t>
      </w:r>
      <w:r>
        <w:rPr>
          <w:rFonts w:ascii="Times New Roman" w:hAnsi="Times New Roman" w:eastAsia="宋体"/>
          <w:sz w:val="21"/>
        </w:rPr>
        <w:t>——量级自洽。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护栏二：MoE 专家覆盖率。</w:t>
      </w:r>
      <w:r>
        <w:rPr>
          <w:rFonts w:ascii="Times New Roman" w:hAnsi="Times New Roman" w:eastAsia="宋体"/>
          <w:sz w:val="21"/>
        </w:rPr>
        <w:t xml:space="preserve"> K3 每 token 从 896 个专家选 16 个，批大小 B 时批内触及专家的期望覆盖率 φ(B) = 1−(1−16/896)^B。φ(10) = </w:t>
      </w:r>
      <w:r>
        <w:rPr>
          <w:rFonts w:ascii="Times New Roman" w:hAnsi="Times New Roman" w:eastAsia="宋体"/>
          <w:b/>
          <w:sz w:val="21"/>
        </w:rPr>
        <w:t>16.5%</w:t>
      </w:r>
      <w:r>
        <w:rPr>
          <w:rFonts w:ascii="Times New Roman" w:hAnsi="Times New Roman" w:eastAsia="宋体"/>
          <w:sz w:val="21"/>
        </w:rPr>
        <w:t xml:space="preserve">，φ(64) = </w:t>
      </w:r>
      <w:r>
        <w:rPr>
          <w:rFonts w:ascii="Times New Roman" w:hAnsi="Times New Roman" w:eastAsia="宋体"/>
          <w:b/>
          <w:sz w:val="21"/>
        </w:rPr>
        <w:t>68.4%</w:t>
      </w:r>
      <w:r>
        <w:rPr>
          <w:rFonts w:ascii="Times New Roman" w:hAnsi="Times New Roman" w:eastAsia="宋体"/>
          <w:sz w:val="21"/>
        </w:rPr>
        <w:t>。这解释了一个乍看矛盾的实测现象：</w:t>
      </w:r>
      <w:r>
        <w:rPr>
          <w:rFonts w:ascii="Times New Roman" w:hAnsi="Times New Roman" w:eastAsia="宋体"/>
          <w:b/>
          <w:sz w:val="21"/>
        </w:rPr>
        <w:t>c=10 时的 ITL（18.6 ms）低于"把 1.57 TB 权重完整读一遍"所需的 24.53 ms——因为低并发下根本不需要读全部专家。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需要诚实说明的一点：本模型</w:t>
      </w:r>
      <w:r>
        <w:rPr>
          <w:rFonts w:ascii="Times New Roman" w:hAnsi="Times New Roman" w:eastAsia="宋体"/>
          <w:b/>
          <w:sz w:val="21"/>
        </w:rPr>
        <w:t>只把 φ(B) 用于解释与自检，不用它反推专家权重占比</w:t>
      </w:r>
      <w:r>
        <w:rPr>
          <w:rFonts w:ascii="Times New Roman" w:hAnsi="Times New Roman" w:eastAsia="宋体"/>
          <w:sz w:val="21"/>
        </w:rPr>
        <w:t>。原因是由公开架构参数（latent MoE 维 3584、每专家隐层 3072、896 专家）推算出的参数量与官方公布的 2.8T 总量、104B 激活量无法自洽，说明 "Stable LatentMoE" 的参数共享方式未完全公开。</w:t>
      </w:r>
      <w:r>
        <w:rPr>
          <w:rFonts w:ascii="Times New Roman" w:hAnsi="Times New Roman" w:eastAsia="宋体"/>
          <w:b/>
          <w:sz w:val="21"/>
        </w:rPr>
        <w:t>既然推不出，就不推</w:t>
      </w:r>
      <w:r>
        <w:rPr>
          <w:rFonts w:ascii="Times New Roman" w:hAnsi="Times New Roman" w:eastAsia="宋体"/>
          <w:sz w:val="21"/>
        </w:rPr>
        <w:t>——不用一个对不上的中间量去支撑结论。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预填速率由端到端耗时反解</w:t>
      </w:r>
      <w:r>
        <w:rPr>
          <w:rFonts w:ascii="Times New Roman" w:hAnsi="Times New Roman" w:eastAsia="宋体"/>
          <w:sz w:val="21"/>
        </w:rPr>
        <w:t xml:space="preserve">：GPUStack 两组数据独立反解出 16,134 tok/s（64K 组）与 18,425 tok/s（200K 组），互相印证，取较低者。对应算力利用率 MFU 仅 </w:t>
      </w:r>
      <w:r>
        <w:rPr>
          <w:rFonts w:ascii="Times New Roman" w:hAnsi="Times New Roman" w:eastAsia="宋体"/>
          <w:b/>
          <w:sz w:val="21"/>
        </w:rPr>
        <w:t>2.80%</w:t>
      </w:r>
      <w:r>
        <w:rPr>
          <w:rFonts w:ascii="Times New Roman" w:hAnsi="Times New Roman" w:eastAsia="宋体"/>
          <w:sz w:val="21"/>
        </w:rPr>
        <w:t>，偏低但符合 MoE 长上下文预填的特征（专家全互联通信开销大）。引擎日志自报的 19,000–23,000 tok/s 更高，作为上界纳入敏感性。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6.3 两条被忽视的工程约束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KV 池是并发的硬上限。</w:t>
      </w:r>
      <w:r>
        <w:rPr>
          <w:rFonts w:ascii="Times New Roman" w:hAnsi="Times New Roman" w:eastAsia="宋体"/>
          <w:sz w:val="21"/>
        </w:rPr>
        <w:t xml:space="preserve"> 实测 KV 池容量 2,687,776 token，反解出每 token 占用 </w:t>
      </w:r>
      <w:r>
        <w:rPr>
          <w:rFonts w:ascii="Times New Roman" w:hAnsi="Times New Roman" w:eastAsia="宋体"/>
          <w:b/>
          <w:sz w:val="21"/>
        </w:rPr>
        <w:t>17,482 字节</w:t>
      </w:r>
      <w:r>
        <w:rPr>
          <w:rFonts w:ascii="Times New Roman" w:hAnsi="Times New Roman" w:eastAsia="宋体"/>
          <w:sz w:val="21"/>
        </w:rPr>
        <w:t>。因此并发上限随上下文急剧收缩：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画像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平均上下文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KV 允许并发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对话 2K/500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2,250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1,195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基准 8K/800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8,400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320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智能体 32K/1500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32,750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82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长文档 128K/2000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129,000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21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而 vLLM 在准入时按 </w:t>
      </w:r>
      <w:r>
        <w:rPr>
          <w:rFonts w:ascii="Consolas" w:hAnsi="Consolas" w:eastAsia="Consolas"/>
          <w:sz w:val="20"/>
        </w:rPr>
        <w:t>--max-model-len</w:t>
      </w:r>
      <w:r>
        <w:rPr>
          <w:rFonts w:ascii="Times New Roman" w:hAnsi="Times New Roman" w:eastAsia="宋体"/>
          <w:sz w:val="21"/>
        </w:rPr>
        <w:t xml:space="preserve"> 全长预留 KV。</w:t>
      </w:r>
      <w:r>
        <w:rPr>
          <w:rFonts w:ascii="Times New Roman" w:hAnsi="Times New Roman" w:eastAsia="宋体"/>
          <w:b/>
          <w:sz w:val="21"/>
        </w:rPr>
        <w:t>把 max-model-len 从 1M 降到业务实际需要的长度，可以立刻放大并发——这是一条零成本的运营建议。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冷启动的两个口径必须分开。</w:t>
      </w:r>
      <w:r>
        <w:rPr>
          <w:rFonts w:ascii="Times New Roman" w:hAnsi="Times New Roman" w:eastAsia="宋体"/>
          <w:sz w:val="21"/>
        </w:rPr>
        <w:t xml:space="preserve"> GPUStack 实测容器到就绪约 </w:t>
      </w:r>
      <w:r>
        <w:rPr>
          <w:rFonts w:ascii="Times New Roman" w:hAnsi="Times New Roman" w:eastAsia="宋体"/>
          <w:b/>
          <w:sz w:val="21"/>
        </w:rPr>
        <w:t>10.6 分钟</w:t>
      </w:r>
      <w:r>
        <w:rPr>
          <w:rFonts w:ascii="Times New Roman" w:hAnsi="Times New Roman" w:eastAsia="宋体"/>
          <w:sz w:val="21"/>
        </w:rPr>
        <w:t xml:space="preserve">（权重已在本地 NVMe）；DevGENT 实测完整冷启动约 </w:t>
      </w:r>
      <w:r>
        <w:rPr>
          <w:rFonts w:ascii="Times New Roman" w:hAnsi="Times New Roman" w:eastAsia="宋体"/>
          <w:b/>
          <w:sz w:val="21"/>
        </w:rPr>
        <w:t>88.8 分钟</w:t>
      </w:r>
      <w:r>
        <w:rPr>
          <w:rFonts w:ascii="Times New Roman" w:hAnsi="Times New Roman" w:eastAsia="宋体"/>
          <w:sz w:val="21"/>
        </w:rPr>
        <w:t>（含约 81.4 分钟权重加载）。前者是计划外重启的 MTTR，后者是首次开机与跨机迁移的代价。姊妹报告只用了后者，本报告区分两者（矛盾记录见 C-6）。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投机解码在高负载下是负资产。</w:t>
      </w:r>
      <w:r>
        <w:rPr>
          <w:rFonts w:ascii="Times New Roman" w:hAnsi="Times New Roman" w:eastAsia="宋体"/>
          <w:sz w:val="21"/>
        </w:rPr>
        <w:t xml:space="preserve"> DSpark 在 c≤4 时提速 1.4–1.9 倍，但在 c&gt;16 后转为拖累：c=64 时 vLLM+Spec 的聚合吞吐 717 tok/s，反低于直出的 1,759。</w:t>
      </w:r>
      <w:r>
        <w:rPr>
          <w:rFonts w:ascii="Times New Roman" w:hAnsi="Times New Roman" w:eastAsia="宋体"/>
          <w:b/>
          <w:sz w:val="21"/>
        </w:rPr>
        <w:t>生产高负载配置应关闭。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七、收入与盈亏平衡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7.1 时间预算模型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节点的每一秒被预填与解码瓜分：</w:t>
      </w:r>
    </w:p>
    <w:p>
      <w:pPr>
        <w:spacing w:before="80" w:after="160" w:line="276" w:lineRule="auto"/>
        <w:ind w:left="227"/>
        <w:shd w:val="clear" w:color="auto" w:fill="F2F3F5"/>
      </w:pPr>
      <w:r>
        <w:rPr>
          <w:rFonts w:ascii="Consolas" w:hAnsi="Consolas" w:eastAsia="Consolas"/>
          <w:sz w:val="17"/>
        </w:rPr>
        <w:t>1 秒 = 每秒请求数 × ( 未命中输入 / 预填速率 + 输出 token / 聚合解码速率 )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解出每秒请求数即满载产能。</w:t>
      </w:r>
      <w:r>
        <w:rPr>
          <w:rFonts w:ascii="Times New Roman" w:hAnsi="Times New Roman" w:eastAsia="宋体"/>
          <w:b/>
          <w:sz w:val="21"/>
        </w:rPr>
        <w:t>不采用"输出收入 + 输入收入"的简单相加</w:t>
      </w:r>
      <w:r>
        <w:rPr>
          <w:rFonts w:ascii="Times New Roman" w:hAnsi="Times New Roman" w:eastAsia="宋体"/>
          <w:sz w:val="21"/>
        </w:rPr>
        <w:t>——那会把同一台机器的时间算两遍。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实测显示解码占用了基准画像 </w:t>
      </w:r>
      <w:r>
        <w:rPr>
          <w:rFonts w:ascii="Times New Roman" w:hAnsi="Times New Roman" w:eastAsia="宋体"/>
          <w:b/>
          <w:sz w:val="21"/>
        </w:rPr>
        <w:t>91.1%</w:t>
      </w:r>
      <w:r>
        <w:rPr>
          <w:rFonts w:ascii="Times New Roman" w:hAnsi="Times New Roman" w:eastAsia="宋体"/>
          <w:sz w:val="21"/>
        </w:rPr>
        <w:t xml:space="preserve"> 的机器时间，预填只占零头。</w:t>
      </w:r>
      <w:r>
        <w:rPr>
          <w:rFonts w:ascii="Times New Roman" w:hAnsi="Times New Roman" w:eastAsia="宋体"/>
          <w:b/>
          <w:sz w:val="21"/>
        </w:rPr>
        <w:t>输出 token 才是产能的真正消耗者，也是定价的真正标的。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7.2 缓存命中率：最容易算错的一处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OpenRouter 实测显示 K3 各 provider 的缓存命中率在 </w:t>
      </w:r>
      <w:r>
        <w:rPr>
          <w:rFonts w:ascii="Times New Roman" w:hAnsi="Times New Roman" w:eastAsia="宋体"/>
          <w:b/>
          <w:sz w:val="21"/>
        </w:rPr>
        <w:t>65%–89%</w:t>
      </w:r>
      <w:r>
        <w:rPr>
          <w:rFonts w:ascii="Times New Roman" w:hAnsi="Times New Roman" w:eastAsia="宋体"/>
          <w:sz w:val="21"/>
        </w:rPr>
        <w:t xml:space="preserve"> 之间，Moonshot 自营达 89.3%。本模型取 85%，对应</w:t>
      </w:r>
      <w:r>
        <w:rPr>
          <w:rFonts w:ascii="Times New Roman" w:hAnsi="Times New Roman" w:eastAsia="宋体"/>
          <w:b/>
          <w:sz w:val="21"/>
        </w:rPr>
        <w:t>有效输入价 $0.705/M，仅为标价 $3.00/M 的 23.5%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若误按标价计算全部输入收入，基准画像的单请求收入会从 $0.01764 虚高到约 $0.036——</w:t>
      </w:r>
      <w:r>
        <w:rPr>
          <w:rFonts w:ascii="Times New Roman" w:hAnsi="Times New Roman" w:eastAsia="宋体"/>
          <w:b/>
          <w:sz w:val="21"/>
        </w:rPr>
        <w:t>收入高估一倍以上</w:t>
      </w:r>
      <w:r>
        <w:rPr>
          <w:rFonts w:ascii="Times New Roman" w:hAnsi="Times New Roman" w:eastAsia="宋体"/>
          <w:sz w:val="21"/>
        </w:rPr>
        <w:t>。这是同类测算最常见的错误。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7.3 一个反直觉的发现：长上下文不赚钱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对比基准画像与长文档画像：单请求收入涨了 6.8 倍（$0.01764 → $0.12024），但请求数掉了 8.3 倍，</w:t>
      </w:r>
      <w:r>
        <w:rPr>
          <w:rFonts w:ascii="Times New Roman" w:hAnsi="Times New Roman" w:eastAsia="宋体"/>
          <w:b/>
          <w:sz w:val="21"/>
        </w:rPr>
        <w:t>净效应是满载月收入从 $54,647 降到 $44,651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卖长上下文不赚钱。</w:t>
      </w:r>
      <w:r>
        <w:rPr>
          <w:rFonts w:ascii="Times New Roman" w:hAnsi="Times New Roman" w:eastAsia="宋体"/>
          <w:sz w:val="21"/>
        </w:rPr>
        <w:t xml:space="preserve"> 因此运营上应当：限制 </w:t>
      </w:r>
      <w:r>
        <w:rPr>
          <w:rFonts w:ascii="Consolas" w:hAnsi="Consolas" w:eastAsia="Consolas"/>
          <w:sz w:val="20"/>
        </w:rPr>
        <w:t>max-model-len</w:t>
      </w:r>
      <w:r>
        <w:rPr>
          <w:rFonts w:ascii="Times New Roman" w:hAnsi="Times New Roman" w:eastAsia="宋体"/>
          <w:sz w:val="21"/>
        </w:rPr>
        <w:t xml:space="preserve"> 到业务实际需要（同时放大并发），并对超长上下文单独加价。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7.4 价格弹性极小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reakeven_su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color w:val="606060"/>
          <w:sz w:val="18"/>
        </w:rPr>
        <w:t>盈亏平衡曲面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基准画像在 15 万租金下（</w:t>
      </w:r>
      <w:r>
        <w:rPr>
          <w:rFonts w:ascii="Times New Roman" w:hAnsi="Times New Roman" w:eastAsia="宋体"/>
          <w:sz w:val="21"/>
        </w:rPr>
        <w:t>`outputs/05_breakeven_surface.csv`</w:t>
      </w:r>
      <w:r>
        <w:rPr>
          <w:rFonts w:ascii="Times New Roman" w:hAnsi="Times New Roman" w:eastAsia="宋体"/>
          <w:color w:val="606060"/>
          <w:sz w:val="18"/>
        </w:rPr>
        <w:t>（outputs/05_breakeven_surface.csv）</w:t>
      </w:r>
      <w:r>
        <w:rPr>
          <w:rFonts w:ascii="Times New Roman" w:hAnsi="Times New Roman" w:eastAsia="宋体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售价系数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盈亏平衡利用率</w:t>
            </w:r>
          </w:p>
        </w:tc>
        <w:tc>
          <w:tcPr>
            <w:tcW w:type="dxa" w:w="3061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是否可行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1.0（官方价）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43.6%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可行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0.9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48.5%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可行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0.8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54.6%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可行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0.7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62.3%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可行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72.7%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勉强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0.5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87.3%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极限</w:t>
            </w:r>
          </w:p>
        </w:tc>
      </w:tr>
      <w:tr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&lt; 0.5</w:t>
            </w:r>
          </w:p>
        </w:tc>
        <w:tc>
          <w:tcPr>
            <w:tcW w:type="dxa" w:w="3061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&gt; 100%</w:t>
            </w:r>
          </w:p>
        </w:tc>
        <w:tc>
          <w:tcPr>
            <w:tcW w:type="dxa" w:w="3061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不存在可行解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我们最多只能承受 50% 的价格下行。</w:t>
      </w:r>
      <w:r>
        <w:rPr>
          <w:rFonts w:ascii="Times New Roman" w:hAnsi="Times New Roman" w:eastAsia="宋体"/>
          <w:sz w:val="21"/>
        </w:rPr>
        <w:t xml:space="preserve"> 而 K3 开放权重 9 天内已有 11 家 provider 同价竞争，TeamoRouter 已在 $1.50/$7.50（官方价 50%）——</w:t>
      </w:r>
      <w:r>
        <w:rPr>
          <w:rFonts w:ascii="Times New Roman" w:hAnsi="Times New Roman" w:eastAsia="宋体"/>
          <w:b/>
          <w:sz w:val="21"/>
        </w:rPr>
        <w:t>我们已经处在极限位置</w:t>
      </w:r>
      <w:r>
        <w:rPr>
          <w:rFonts w:ascii="Times New Roman" w:hAnsi="Times New Roman" w:eastAsia="宋体"/>
          <w:sz w:val="21"/>
        </w:rPr>
        <w:t>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八、自建还是采购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自建的本质是</w:t>
      </w:r>
      <w:r>
        <w:rPr>
          <w:rFonts w:ascii="Times New Roman" w:hAnsi="Times New Roman" w:eastAsia="宋体"/>
          <w:b/>
          <w:sz w:val="21"/>
        </w:rPr>
        <w:t>把可变成本变成固定成本</w:t>
      </w:r>
      <w:r>
        <w:rPr>
          <w:rFonts w:ascii="Times New Roman" w:hAnsi="Times New Roman" w:eastAsia="宋体"/>
          <w:sz w:val="21"/>
        </w:rPr>
        <w:t>。租金每月照付，与卖出多少 token 无关；采购则是卖多少买多少。只有产量足够大时，摊薄后的固定成本才低于按量采购。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（</w:t>
      </w:r>
      <w:r>
        <w:rPr>
          <w:rFonts w:ascii="Times New Roman" w:hAnsi="Times New Roman" w:eastAsia="宋体"/>
          <w:sz w:val="21"/>
        </w:rPr>
        <w:t>`outputs/05_crossover.csv`</w:t>
      </w:r>
      <w:r>
        <w:rPr>
          <w:rFonts w:ascii="Times New Roman" w:hAnsi="Times New Roman" w:eastAsia="宋体"/>
          <w:color w:val="606060"/>
          <w:sz w:val="18"/>
        </w:rPr>
        <w:t>（outputs/05_crossover.csv）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Times New Roman" w:hAnsi="Times New Roman" w:eastAsia="宋体"/>
          <w:sz w:val="21"/>
        </w:rPr>
        <w:t>`outputs/05_unit_cost.csv`</w:t>
      </w:r>
      <w:r>
        <w:rPr>
          <w:rFonts w:ascii="Times New Roman" w:hAnsi="Times New Roman" w:eastAsia="宋体"/>
          <w:color w:val="606060"/>
          <w:sz w:val="18"/>
        </w:rPr>
        <w:t>（outputs/05_unit_cost.csv）</w:t>
      </w:r>
      <w:r>
        <w:rPr>
          <w:rFonts w:ascii="Times New Roman" w:hAnsi="Times New Roman" w:eastAsia="宋体"/>
          <w:sz w:val="21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利用率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月请求数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自建单请求成本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采购单请求成本</w:t>
            </w:r>
          </w:p>
        </w:tc>
        <w:tc>
          <w:tcPr>
            <w:tcW w:type="dxa" w:w="1837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自建是否更便宜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20%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61.96 万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$0.03758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$0.01764</w:t>
            </w:r>
          </w:p>
        </w:tc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否，贵 113%</w:t>
            </w:r>
          </w:p>
        </w:tc>
      </w:tr>
      <w:tr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40%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123.9 万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$0.01879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$0.01764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否，贵 6.5%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60%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185.9 万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$0.01253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$0.01764</w:t>
            </w:r>
          </w:p>
        </w:tc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是，省 29.0%</w:t>
            </w:r>
          </w:p>
        </w:tc>
      </w:tr>
      <w:tr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80%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247.8 万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$0.00939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$0.01764</w:t>
            </w:r>
          </w:p>
        </w:tc>
        <w:tc>
          <w:tcPr>
            <w:tcW w:type="dxa" w:w="1837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是，省 46.7%</w:t>
            </w:r>
          </w:p>
        </w:tc>
      </w:tr>
      <w:tr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100%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309.8 万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$0.00752</w:t>
            </w:r>
          </w:p>
        </w:tc>
        <w:tc>
          <w:tcPr>
            <w:tcW w:type="dxa" w:w="1837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$0.01764</w:t>
            </w:r>
          </w:p>
        </w:tc>
        <w:tc>
          <w:tcPr>
            <w:tcW w:type="dxa" w:w="1837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是，</w:t>
            </w:r>
            <w:r>
              <w:rPr>
                <w:rFonts w:ascii="Times New Roman" w:hAnsi="Times New Roman" w:eastAsia="宋体"/>
                <w:b/>
                <w:sz w:val="18"/>
              </w:rPr>
              <w:t>省 57.4%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crossover 点：每月 132.0 万次请求，约 10.56 亿输出 token。</w:t>
      </w:r>
      <w:r>
        <w:rPr>
          <w:rFonts w:ascii="Times New Roman" w:hAnsi="Times New Roman" w:eastAsia="宋体"/>
          <w:sz w:val="21"/>
        </w:rPr>
        <w:t xml:space="preserve"> 达到该量之前，自建一定比直接向上游采购更贵。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与姊妹报告（中国境内 35 万元/月）对照可见租金的决定性：在 35 万租金下满载仅省 3.5%，在 15 万租金下满载省 57.4%。</w:t>
      </w:r>
      <w:r>
        <w:rPr>
          <w:rFonts w:ascii="Times New Roman" w:hAnsi="Times New Roman" w:eastAsia="宋体"/>
          <w:b/>
          <w:sz w:val="21"/>
        </w:rPr>
        <w:t>同一个商业模式，在两个租金价位上是两门完全不同的生意。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九、按月滚动与复利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9.1 模型规则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初始投入</w:t>
      </w:r>
      <w:r>
        <w:rPr>
          <w:rFonts w:ascii="Times New Roman" w:hAnsi="Times New Roman" w:eastAsia="宋体"/>
          <w:sz w:val="21"/>
        </w:rPr>
        <w:t xml:space="preserve"> = 押金（2 个月租金）+ 首月租金 + 3 个月安全垫 = 6 个月租金 = </w:t>
      </w:r>
      <w:r>
        <w:rPr>
          <w:rFonts w:ascii="Times New Roman" w:hAnsi="Times New Roman" w:eastAsia="宋体"/>
          <w:b/>
          <w:sz w:val="21"/>
        </w:rPr>
        <w:t>$132,515</w:t>
      </w:r>
      <w:r>
        <w:rPr>
          <w:rFonts w:ascii="Times New Roman" w:hAnsi="Times New Roman" w:eastAsia="宋体"/>
          <w:sz w:val="21"/>
        </w:rPr>
        <w:t>（按用户确认的口径）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再投资</w:t>
      </w:r>
      <w:r>
        <w:rPr>
          <w:rFonts w:ascii="Times New Roman" w:hAnsi="Times New Roman" w:eastAsia="宋体"/>
          <w:sz w:val="21"/>
        </w:rPr>
        <w:t>：现金覆盖新节点启动资金、</w:t>
      </w:r>
      <w:r>
        <w:rPr>
          <w:rFonts w:ascii="Times New Roman" w:hAnsi="Times New Roman" w:eastAsia="宋体"/>
          <w:b/>
          <w:sz w:val="21"/>
        </w:rPr>
        <w:t>且</w:t>
      </w:r>
      <w:r>
        <w:rPr>
          <w:rFonts w:ascii="Times New Roman" w:hAnsi="Times New Roman" w:eastAsia="宋体"/>
          <w:sz w:val="21"/>
        </w:rPr>
        <w:t>需求逼近现有产能 90%、</w:t>
      </w:r>
      <w:r>
        <w:rPr>
          <w:rFonts w:ascii="Times New Roman" w:hAnsi="Times New Roman" w:eastAsia="宋体"/>
          <w:b/>
          <w:sz w:val="21"/>
        </w:rPr>
        <w:t>且</w:t>
      </w:r>
      <w:r>
        <w:rPr>
          <w:rFonts w:ascii="Times New Roman" w:hAnsi="Times New Roman" w:eastAsia="宋体"/>
          <w:sz w:val="21"/>
        </w:rPr>
        <w:t>未触及供给上限，三条同时满足才增开一台。只满足资金条件就扩张等于白付租金。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三重约束全部记录</w:t>
      </w:r>
      <w:r>
        <w:rPr>
          <w:rFonts w:ascii="Times New Roman" w:hAnsi="Times New Roman" w:eastAsia="宋体"/>
          <w:sz w:val="21"/>
        </w:rPr>
        <w:t>，不只报第一条未满足的，以免掩盖真实瓶颈。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供给约束</w:t>
      </w:r>
      <w:r>
        <w:rPr>
          <w:rFonts w:ascii="Times New Roman" w:hAnsi="Times New Roman" w:eastAsia="宋体"/>
          <w:sz w:val="21"/>
        </w:rPr>
        <w:t>：每季度最多加一台，且有交付前置期（马来西亚 2 个月含 MITI 提前 30 天申报，其余 1 个月）。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应收账期</w:t>
      </w:r>
      <w:r>
        <w:rPr>
          <w:rFonts w:ascii="Times New Roman" w:hAnsi="Times New Roman" w:eastAsia="宋体"/>
          <w:sz w:val="21"/>
        </w:rPr>
        <w:t>：聚合渠道占收入 60%、账期 45 天，自建渠道预付无应收。</w:t>
      </w:r>
      <w:r>
        <w:rPr>
          <w:rFonts w:ascii="Times New Roman" w:hAnsi="Times New Roman" w:eastAsia="宋体"/>
          <w:b/>
          <w:sz w:val="21"/>
        </w:rPr>
        <w:t>现金转换周期 CCC = 27 天。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逐年计税</w:t>
      </w:r>
      <w:r>
        <w:rPr>
          <w:rFonts w:ascii="Times New Roman" w:hAnsi="Times New Roman" w:eastAsia="宋体"/>
          <w:sz w:val="21"/>
        </w:rPr>
        <w:t>：新加坡主体，含新创减免与 YA2026 回扣。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租约窗口内自动续期</w:t>
      </w:r>
      <w:r>
        <w:rPr>
          <w:rFonts w:ascii="Times New Roman" w:hAnsi="Times New Roman" w:eastAsia="宋体"/>
          <w:sz w:val="21"/>
        </w:rPr>
        <w:t>：一份 12 个月的租约不意味着业务在第 12 个月停业，而是每 12 个月续签一次。不这样建模会得出"租期越短终值越低"的荒谬结论。租期的真实影响只有一个——剩余义务的大小。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租约清算期</w:t>
      </w:r>
      <w:r>
        <w:rPr>
          <w:rFonts w:ascii="Times New Roman" w:hAnsi="Times New Roman" w:eastAsia="宋体"/>
          <w:sz w:val="21"/>
        </w:rPr>
        <w:t>：窗口之后继续模拟到覆盖窗口的那个租约周期结束，期间不新增节点、需求冻结在窗口末值。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9.2 关于尾部租约义务的一处方法论说明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第 30 个月新开的节点若签 36 个月租约，会在 36 个月窗口之外留下 29 个月的付款义务。</w:t>
      </w:r>
      <w:r>
        <w:rPr>
          <w:rFonts w:ascii="Times New Roman" w:hAnsi="Times New Roman" w:eastAsia="宋体"/>
          <w:b/>
          <w:sz w:val="21"/>
        </w:rPr>
        <w:t>不计入等于把成本藏到窗口外面</w:t>
      </w:r>
      <w:r>
        <w:rPr>
          <w:rFonts w:ascii="Times New Roman" w:hAnsi="Times New Roman" w:eastAsia="宋体"/>
          <w:sz w:val="21"/>
        </w:rPr>
        <w:t>——这是同类测算最常见的粉饰手法。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但只计义务不计对应的继续经营收益，是</w:t>
      </w:r>
      <w:r>
        <w:rPr>
          <w:rFonts w:ascii="Times New Roman" w:hAnsi="Times New Roman" w:eastAsia="宋体"/>
          <w:b/>
          <w:sz w:val="21"/>
        </w:rPr>
        <w:t>另一个方向的失真</w:t>
      </w:r>
      <w:r>
        <w:rPr>
          <w:rFonts w:ascii="Times New Roman" w:hAnsi="Times New Roman" w:eastAsia="宋体"/>
          <w:sz w:val="21"/>
        </w:rPr>
        <w:t>。因此本模型同时给出两个口径，并列呈现：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继续经营</w:t>
      </w:r>
      <w:r>
        <w:rPr>
          <w:rFonts w:ascii="Times New Roman" w:hAnsi="Times New Roman" w:eastAsia="宋体"/>
          <w:sz w:val="21"/>
        </w:rPr>
        <w:t>：窗口末权益 + 清算期净现金流现值（已含窗口外租金）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业务停摆</w:t>
      </w:r>
      <w:r>
        <w:rPr>
          <w:rFonts w:ascii="Times New Roman" w:hAnsi="Times New Roman" w:eastAsia="宋体"/>
          <w:sz w:val="21"/>
        </w:rPr>
        <w:t>：窗口末权益 − 剩余租约义务现值（收入归零但租金照付）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两者的差距，就是这笔投资的风险敞口宽度。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9.3 结果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（</w:t>
      </w:r>
      <w:r>
        <w:rPr>
          <w:rFonts w:ascii="Times New Roman" w:hAnsi="Times New Roman" w:eastAsia="宋体"/>
          <w:sz w:val="21"/>
        </w:rPr>
        <w:t>`outputs/06_roll_summary.csv`</w:t>
      </w:r>
      <w:r>
        <w:rPr>
          <w:rFonts w:ascii="Times New Roman" w:hAnsi="Times New Roman" w:eastAsia="宋体"/>
          <w:color w:val="606060"/>
          <w:sz w:val="18"/>
        </w:rPr>
        <w:t>（outputs/06_roll_summary.csv）</w:t>
      </w:r>
      <w:r>
        <w:rPr>
          <w:rFonts w:ascii="Times New Roman" w:hAnsi="Times New Roman" w:eastAsia="宋体"/>
          <w:sz w:val="21"/>
        </w:rPr>
        <w:t xml:space="preserve">，逐月表见 </w:t>
      </w:r>
      <w:r>
        <w:rPr>
          <w:rFonts w:ascii="Times New Roman" w:hAnsi="Times New Roman" w:eastAsia="宋体"/>
          <w:sz w:val="21"/>
        </w:rPr>
        <w:t>`outputs/06_roll_*.csv`</w:t>
      </w:r>
      <w:r>
        <w:rPr>
          <w:rFonts w:ascii="Times New Roman" w:hAnsi="Times New Roman" w:eastAsia="宋体"/>
          <w:color w:val="606060"/>
          <w:sz w:val="18"/>
        </w:rPr>
        <w:t>（outputs/）</w:t>
      </w:r>
      <w:r>
        <w:rPr>
          <w:rFonts w:ascii="Times New Roman" w:hAnsi="Times New Roman" w:eastAsia="宋体"/>
          <w:sz w:val="21"/>
        </w:rP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48"/>
        <w:gridCol w:w="1148"/>
        <w:gridCol w:w="1148"/>
        <w:gridCol w:w="1148"/>
        <w:gridCol w:w="1148"/>
        <w:gridCol w:w="1148"/>
        <w:gridCol w:w="1148"/>
        <w:gridCol w:w="1148"/>
      </w:tblGrid>
      <w:tr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侵蚀率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IRR 年化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回本月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窗口末权益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继续经营终值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业务停摆终值</w:t>
            </w:r>
          </w:p>
        </w:tc>
        <w:tc>
          <w:tcPr>
            <w:tcW w:type="dxa" w:w="1148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6"/>
              </w:rPr>
              <w:t>期末节点</w:t>
            </w:r>
          </w:p>
        </w:tc>
      </w:tr>
      <w:tr>
        <w:tc>
          <w:tcPr>
            <w:tcW w:type="dxa" w:w="1148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悲观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20%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无解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未回本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−$410,681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−$426,081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−$410,681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</w:tr>
      <w:tr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中性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0%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13.3%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26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$187,233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+$776,051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−$316,217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2</w:t>
            </w:r>
          </w:p>
        </w:tc>
      </w:tr>
      <w:tr>
        <w:tc>
          <w:tcPr>
            <w:tcW w:type="dxa" w:w="1148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中性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20%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无解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未回本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$103,974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+$88,574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$103,974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</w:tr>
      <w:tr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乐观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0%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245.5%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13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$1,039,678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+$2,453,828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−$180,453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</w:tr>
      <w:tr>
        <w:tc>
          <w:tcPr>
            <w:tcW w:type="dxa" w:w="1148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>乐观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20%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90.8%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17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$186,129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+$82,374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>−$1,174,145</w:t>
            </w:r>
          </w:p>
        </w:tc>
        <w:tc>
          <w:tcPr>
            <w:tcW w:type="dxa" w:w="1148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4</w:t>
            </w:r>
          </w:p>
        </w:tc>
      </w:tr>
      <w:tr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6"/>
              </w:rPr>
              <w:t>乐观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40%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无解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未回本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$20,684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+$5,284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$20,684</w:t>
            </w:r>
          </w:p>
        </w:tc>
        <w:tc>
          <w:tcPr>
            <w:tcW w:type="dxa" w:w="1148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6"/>
              </w:rPr>
              <w:t>1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九种组合里只有三种赚钱，且全部依赖"价格侵蚀不超过 20%"这个没有出处的假设。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注意乐观 + 20% 侵蚀这一行：IRR 90.8% 看起来很漂亮，但</w:t>
      </w:r>
      <w:r>
        <w:rPr>
          <w:rFonts w:ascii="Times New Roman" w:hAnsi="Times New Roman" w:eastAsia="宋体"/>
          <w:b/>
          <w:sz w:val="21"/>
        </w:rPr>
        <w:t>停摆口径终值是 −$1,174,145</w:t>
      </w:r>
      <w:r>
        <w:rPr>
          <w:rFonts w:ascii="Times New Roman" w:hAnsi="Times New Roman" w:eastAsia="宋体"/>
          <w:sz w:val="21"/>
        </w:rPr>
        <w:t>。扩张到 4 台节点意味着背上 4 份 36 个月租约，一旦需求崩塌，损失是初始资金的 8.9 倍。</w:t>
      </w:r>
      <w:r>
        <w:rPr>
          <w:rFonts w:ascii="Times New Roman" w:hAnsi="Times New Roman" w:eastAsia="宋体"/>
          <w:b/>
          <w:sz w:val="21"/>
        </w:rPr>
        <w:t>扩张本身是加杠杆，而这个杠杆是租约合同强加的、不可逆的。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十、资金使用效率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因为是经营性租赁，占用资金的分母很小，收益率的绝对值会显得很高。必须同时看两组数才不失真。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乐观+20%侵蚀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中性+20%侵蚀</w:t>
            </w:r>
          </w:p>
        </w:tc>
        <w:tc>
          <w:tcPr>
            <w:tcW w:type="dxa" w:w="2296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悲观+20%侵蚀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初始投入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$132,515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$132,515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$132,515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峰值资金占用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18"/>
              </w:rPr>
              <w:t>$530,059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$132,515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$132,515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36 个月累计收入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 见 CSV —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继续经营终值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+$82,374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+$88,574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−$426,081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MOIC（继续经营口径）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0.62×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0.67×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−3.22×</w:t>
            </w:r>
          </w:p>
        </w:tc>
      </w:tr>
      <w:tr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现金转换周期 CCC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27 天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27 天</w:t>
            </w:r>
          </w:p>
        </w:tc>
        <w:tc>
          <w:tcPr>
            <w:tcW w:type="dxa" w:w="2296"/>
            <w:shd w:val="clear" w:color="auto" w:fill="F7F8FA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27 天</w:t>
            </w:r>
          </w:p>
        </w:tc>
      </w:tr>
      <w:tr>
        <w:tc>
          <w:tcPr>
            <w:tcW w:type="dxa" w:w="2296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峰值应收沉淀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$85,040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2296"/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三点必须点明：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峰值资金占用是初始投入的 4 倍。</w:t>
      </w:r>
      <w:r>
        <w:rPr>
          <w:rFonts w:ascii="Times New Roman" w:hAnsi="Times New Roman" w:eastAsia="宋体"/>
          <w:sz w:val="21"/>
        </w:rPr>
        <w:t xml:space="preserve"> 乐观情景要扩到 4 台，每台都要押金 + 缓冲，真实资金需求 $530,059 而非 $132,515。</w:t>
      </w:r>
      <w:r>
        <w:rPr>
          <w:rFonts w:ascii="Times New Roman" w:hAnsi="Times New Roman" w:eastAsia="宋体"/>
          <w:b/>
          <w:sz w:val="21"/>
        </w:rPr>
        <w:t>按初始投入备资会在扩张时断流。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CCC 为正 27 天，是结构性的。</w:t>
      </w:r>
      <w:r>
        <w:rPr>
          <w:rFonts w:ascii="Times New Roman" w:hAnsi="Times New Roman" w:eastAsia="宋体"/>
          <w:sz w:val="21"/>
        </w:rPr>
        <w:t xml:space="preserve"> 聚合渠道按月开票、账期 45 天，租金却按月预付。稳态下沉淀约 $85,040 应收。这笔钱必须提前备出，它不是利润的一部分。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高经营杠杆是双向的。</w:t>
      </w:r>
      <w:r>
        <w:rPr>
          <w:rFonts w:ascii="Times New Roman" w:hAnsi="Times New Roman" w:eastAsia="宋体"/>
          <w:sz w:val="21"/>
        </w:rPr>
        <w:t xml:space="preserve"> 分母小让好情景的 MOIC 好看，也让坏情景的亏损相对本金放大得极快（悲观 −3.22×）。</w:t>
      </w:r>
      <w:r>
        <w:rPr>
          <w:rFonts w:ascii="Times New Roman" w:hAnsi="Times New Roman" w:eastAsia="宋体"/>
          <w:b/>
          <w:sz w:val="21"/>
        </w:rPr>
        <w:t>这不是"大不了不赚钱"的生意，是"亏起来能亏掉数倍本金"的生意。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十一、风险量化与优先级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按"影响 × 可控性"排序：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风险一：Gate 0 未决（否决性，不可用选址缓释）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若主体或其最终母公司总部位于 D:5/澳门，B300 路径在实践中不可得。</w:t>
      </w:r>
      <w:r>
        <w:rPr>
          <w:rFonts w:ascii="Times New Roman" w:hAnsi="Times New Roman" w:eastAsia="宋体"/>
          <w:b/>
          <w:sz w:val="21"/>
        </w:rPr>
        <w:t>换国家无效。</w:t>
      </w:r>
      <w:r>
        <w:rPr>
          <w:rFonts w:ascii="Times New Roman" w:hAnsi="Times New Roman" w:eastAsia="宋体"/>
          <w:sz w:val="21"/>
        </w:rPr>
        <w:t xml:space="preserve"> 缓释只能靠：确认主体确实不属于受控终端用户（须是实质而非安排），或转向非受控加速器/轻资产转售。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风险二：长租约的下行不对称（最大且最可控）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第 6 个月失败时 36 个月租约留下 $569,983 剩余义务，是初始资金的 4.3 倍。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这是全表中"可控性"最高的一条</w:t>
      </w:r>
      <w:r>
        <w:rPr>
          <w:rFonts w:ascii="Times New Roman" w:hAnsi="Times New Roman" w:eastAsia="宋体"/>
          <w:sz w:val="21"/>
        </w:rPr>
        <w:t>：改成 12 个月租约可把该数字降到 $127,998，谈到 90 天无责终止可降到接近零。</w:t>
      </w:r>
      <w:r>
        <w:rPr>
          <w:rFonts w:ascii="Times New Roman" w:hAnsi="Times New Roman" w:eastAsia="宋体"/>
          <w:b/>
          <w:sz w:val="21"/>
        </w:rPr>
        <w:t>谈判筹码应该全押在这里。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风险三：价格侵蚀（决定生死，但不可控）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它是唯一能单独把所有情景从盈利翻成亏损的变量，而且没有历史序列可拟合。K3 开放权重 9 天内已有 11 家 provider 同价竞争，DeepSeek V4-Flash 已把输出价打到 $0.28/M。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缓释</w:t>
      </w:r>
      <w:r>
        <w:rPr>
          <w:rFonts w:ascii="Times New Roman" w:hAnsi="Times New Roman" w:eastAsia="宋体"/>
          <w:sz w:val="21"/>
        </w:rPr>
        <w:t>：节点本身与模型无关。K3 被超越时换服当时最强的开放权重模型即可——</w:t>
      </w:r>
      <w:r>
        <w:rPr>
          <w:rFonts w:ascii="Times New Roman" w:hAnsi="Times New Roman" w:eastAsia="宋体"/>
          <w:b/>
          <w:sz w:val="21"/>
        </w:rPr>
        <w:t>硬件租约是可辩护的，会被侵蚀的是 token 售价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风险四：交易对手可持续性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出租方在这个价位的毛利为 −3.9% 到 +11.0%。</w:t>
      </w:r>
      <w:r>
        <w:rPr>
          <w:rFonts w:ascii="Times New Roman" w:hAnsi="Times New Roman" w:eastAsia="宋体"/>
          <w:b/>
          <w:sz w:val="21"/>
        </w:rPr>
        <w:t>缓释</w:t>
      </w:r>
      <w:r>
        <w:rPr>
          <w:rFonts w:ascii="Times New Roman" w:hAnsi="Times New Roman" w:eastAsia="宋体"/>
          <w:sz w:val="21"/>
        </w:rPr>
        <w:t>：尽调其硬件取得成本、美国再出口授权、已投运客户；把押金压到最低；要求违约赔偿条款。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风险五：需求（最不确定，但可零成本先验证）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利用率爬坡是全模型唯一完全没有外部依据的输入，也恰恰是结果最敏感的输入之一。</w:t>
      </w:r>
      <w:r>
        <w:rPr>
          <w:rFonts w:ascii="Times New Roman" w:hAnsi="Times New Roman" w:eastAsia="宋体"/>
          <w:b/>
          <w:sz w:val="21"/>
        </w:rPr>
        <w:t>缓释</w:t>
      </w:r>
      <w:r>
        <w:rPr>
          <w:rFonts w:ascii="Times New Roman" w:hAnsi="Times New Roman" w:eastAsia="宋体"/>
          <w:sz w:val="21"/>
        </w:rPr>
        <w:t>：阶段 0 用现有转售通道跑 30 天真实流量，成本为零。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风险六：单点无冗余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冷启动 10.6 分钟（热盘）到 88.8 分钟（完整），而单节点架构没有冗余副本可切。</w:t>
      </w:r>
      <w:r>
        <w:rPr>
          <w:rFonts w:ascii="Times New Roman" w:hAnsi="Times New Roman" w:eastAsia="宋体"/>
          <w:b/>
          <w:sz w:val="21"/>
        </w:rPr>
        <w:t>"单机 + 无人化 + 高可用"这三者在当前成本结构下不可兼得</w:t>
      </w:r>
      <w:r>
        <w:rPr>
          <w:rFonts w:ascii="Times New Roman" w:hAnsi="Times New Roman" w:eastAsia="宋体"/>
          <w:sz w:val="21"/>
        </w:rPr>
        <w:t>——要真正高可用，最少两台节点，固定成本翻倍，盈亏平衡利用率也随之翻倍。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风险七：监管突变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马来西亚与泰国自 2025-07 起为美国点名的转运关注对象，而租约 36 个月。</w:t>
      </w:r>
      <w:r>
        <w:rPr>
          <w:rFonts w:ascii="Times New Roman" w:hAnsi="Times New Roman" w:eastAsia="宋体"/>
          <w:b/>
          <w:sz w:val="21"/>
        </w:rPr>
        <w:t>缓释</w:t>
      </w:r>
      <w:r>
        <w:rPr>
          <w:rFonts w:ascii="Times New Roman" w:hAnsi="Times New Roman" w:eastAsia="宋体"/>
          <w:sz w:val="21"/>
        </w:rPr>
        <w:t>：租约中加入"因东道国监管变化导致无法履行时的无责终止"条款，以及跨国搬迁预案。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十二、无人化的真实边界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按项目要求，全流程应由软件与 AI 完成、无全职人力。如实划线。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可以做到无人化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实现方式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节点开机与配置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IaC（Terraform/Ansible）+ 固化镜像 </w:t>
            </w:r>
            <w:r>
              <w:rPr>
                <w:rFonts w:ascii="Consolas" w:hAnsi="Consolas" w:eastAsia="Consolas"/>
                <w:sz w:val="17"/>
              </w:rPr>
              <w:t>vllm/vllm-openai:kimi-k3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推理服务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vLLM 与 SGLang 双引擎，按上下文长度路由（≤64K 用 vLLM，≥200K 用 SGLang+DCP）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对外接口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 xml:space="preserve">OpenAI 兼容 </w:t>
            </w:r>
            <w:r>
              <w:rPr>
                <w:rFonts w:ascii="Consolas" w:hAnsi="Consolas" w:eastAsia="Consolas"/>
                <w:sz w:val="17"/>
              </w:rPr>
              <w:t>/chat/completions</w:t>
            </w:r>
            <w:r>
              <w:rPr>
                <w:rFonts w:ascii="Times New Roman" w:hAnsi="Times New Roman" w:eastAsia="宋体"/>
                <w:sz w:val="18"/>
              </w:rPr>
              <w:t xml:space="preserve">（支持流式与 usage）+ </w:t>
            </w:r>
            <w:r>
              <w:rPr>
                <w:rFonts w:ascii="Consolas" w:hAnsi="Consolas" w:eastAsia="Consolas"/>
                <w:sz w:val="17"/>
              </w:rPr>
              <w:t>/models</w:t>
            </w:r>
            <w:r>
              <w:rPr>
                <w:rFonts w:ascii="Times New Roman" w:hAnsi="Times New Roman" w:eastAsia="宋体"/>
                <w:sz w:val="18"/>
              </w:rPr>
              <w:t xml:space="preserve"> 端点（OpenRouter 硬性要求）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准入控制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按上下文长度分级限流；</w:t>
            </w:r>
            <w:r>
              <w:rPr>
                <w:rFonts w:ascii="Consolas" w:hAnsi="Consolas" w:eastAsia="Consolas"/>
                <w:sz w:val="17"/>
              </w:rPr>
              <w:t>max-model-len</w:t>
            </w:r>
            <w:r>
              <w:rPr>
                <w:rFonts w:ascii="Times New Roman" w:hAnsi="Times New Roman" w:eastAsia="宋体"/>
                <w:sz w:val="18"/>
              </w:rPr>
              <w:t xml:space="preserve"> 按业务实际需要设定以放大并发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可观测与自愈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Prometheus + Grafana + SLO 看门狗；健康检查失败自动重启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计费与对账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按 token 精确计量、原子结算、双层幂等；OpenRouter 月结自动对账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定价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每日抓取竞品价格，在人工设定的上下限内自动调整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获客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聚合平台上架即获流量，零人力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一条必须警惕的运营细节</w:t>
      </w:r>
      <w:r>
        <w:rPr>
          <w:rFonts w:ascii="Times New Roman" w:hAnsi="Times New Roman" w:eastAsia="宋体"/>
          <w:sz w:val="21"/>
        </w:rPr>
        <w:t xml:space="preserve">：OpenRouter 会把统计异常的 provider </w:t>
      </w:r>
      <w:r>
        <w:rPr>
          <w:rFonts w:ascii="Times New Roman" w:hAnsi="Times New Roman" w:eastAsia="宋体"/>
          <w:b/>
          <w:sz w:val="21"/>
        </w:rPr>
        <w:t>derank</w:t>
      </w:r>
      <w:r>
        <w:rPr>
          <w:rFonts w:ascii="Times New Roman" w:hAnsi="Times New Roman" w:eastAsia="宋体"/>
          <w:sz w:val="21"/>
        </w:rPr>
        <w:t>（按吞吐、工具调用遥测、基准分三路信号，与同侪比较后判定离群）。新 provider 先落在中间层直到积累足够流量。</w:t>
      </w:r>
      <w:r>
        <w:rPr>
          <w:rFonts w:ascii="Times New Roman" w:hAnsi="Times New Roman" w:eastAsia="宋体"/>
          <w:b/>
          <w:sz w:val="21"/>
        </w:rPr>
        <w:t>这意味着 SLO 看门狗不是可选项——一次持续的延迟异常就可能让你从路由里掉出去。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做不到无人化，必须由人承担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为什么不能自动化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新加坡公司注册、本地居民董事、法人公司秘书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法定强制要求，必须是自然人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银行开户与 KYC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金融机构要求面签或视频核身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租约签署与出口管制终端用户声明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需承担法律责任的签署人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马来西亚 MITI 的 AICA 申报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提前 30 天，需附美国再出口许可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税务申报（ECI、Form C-S、年报）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法定申报义务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许可证阈值合规复核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收入接近 2,000 万美元时须主动与 Moonshot 签约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任何法律意见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超出能力边界，须持牌专业者</w:t>
            </w:r>
          </w:p>
        </w:tc>
      </w:tr>
    </w:tbl>
    <w:p>
      <w:pPr>
        <w:spacing w:after="80"/>
      </w:pP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工时估算：一次性约 40 小时 + 每月 8–20 小时，且必须有一个承担法律责任的自然人董事。</w:t>
      </w:r>
      <w:r>
        <w:rPr>
          <w:rFonts w:ascii="Times New Roman" w:hAnsi="Times New Roman" w:eastAsia="宋体"/>
          <w:sz w:val="21"/>
        </w:rPr>
        <w:t xml:space="preserve"> 年度合规成本约 US$6,000（新加坡主体侧）。</w:t>
      </w:r>
    </w:p>
    <w:p>
      <w:pPr>
        <w:spacing w:after="120" w:line="324" w:lineRule="auto"/>
      </w:pPr>
      <w:r>
        <w:rPr>
          <w:rFonts w:ascii="Times New Roman" w:hAnsi="Times New Roman" w:eastAsia="宋体"/>
          <w:b/>
          <w:sz w:val="21"/>
        </w:rPr>
        <w:t>换到东南亚后这块人工反而增加</w:t>
      </w:r>
      <w:r>
        <w:rPr>
          <w:rFonts w:ascii="Times New Roman" w:hAnsi="Times New Roman" w:eastAsia="宋体"/>
          <w:sz w:val="21"/>
        </w:rPr>
        <w:t>：多一个司法辖区就多一套申报与合规义务，马来西亚还多一个 AICA 申报。这与"全部由软件和 AI 完成"的目标是相反方向的，不粉饰。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十三、阶段目标与退出机制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不给"建议投资"或"不建议投资"的空泛结论，给可检验的门槛。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阶段 0：零成本验证（现在就做）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sz w:val="21"/>
        </w:rPr>
        <w:t>：用现有转售通道接入 K3（向上游按量采购），正常售卖。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产出</w:t>
      </w:r>
      <w:r>
        <w:rPr>
          <w:rFonts w:ascii="Times New Roman" w:hAnsi="Times New Roman" w:eastAsia="宋体"/>
          <w:sz w:val="21"/>
        </w:rPr>
        <w:t>：连续 30 天的真实 token 消耗曲线、请求画像分布、缓存命中率。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判据</w:t>
      </w:r>
      <w:r>
        <w:rPr>
          <w:rFonts w:ascii="Times New Roman" w:hAnsi="Times New Roman" w:eastAsia="宋体"/>
          <w:sz w:val="21"/>
        </w:rPr>
        <w:t xml:space="preserve">：月输出 token ≥ </w:t>
      </w:r>
      <w:r>
        <w:rPr>
          <w:rFonts w:ascii="Times New Roman" w:hAnsi="Times New Roman" w:eastAsia="宋体"/>
          <w:b/>
          <w:sz w:val="21"/>
        </w:rPr>
        <w:t>10.56 亿</w:t>
      </w:r>
      <w:r>
        <w:rPr>
          <w:rFonts w:ascii="Times New Roman" w:hAnsi="Times New Roman" w:eastAsia="宋体"/>
          <w:sz w:val="21"/>
        </w:rPr>
        <w:t xml:space="preserve">（crossover 的 100%）→ 进入阶段 1；≥ 6.34 亿（60%）→ 可开始谈判但不签约；低于此 → </w:t>
      </w:r>
      <w:r>
        <w:rPr>
          <w:rFonts w:ascii="Times New Roman" w:hAnsi="Times New Roman" w:eastAsia="宋体"/>
          <w:b/>
          <w:sz w:val="21"/>
        </w:rPr>
        <w:t>停止，继续转售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为什么</w:t>
      </w:r>
      <w:r>
        <w:rPr>
          <w:rFonts w:ascii="Times New Roman" w:hAnsi="Times New Roman" w:eastAsia="宋体"/>
          <w:sz w:val="21"/>
        </w:rPr>
        <w:t>：不花一分钱，却能一次性验证需求、画像、缓存率这三个模型中最不确定的输入。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阶段 1：合规门（Gate 0）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sz w:val="21"/>
        </w:rPr>
        <w:t>：律师就三层筛查与交易形态定性出具书面意见；取得出租方书面合规确认；自查 K3 许可 §2 收入门槛。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判据</w:t>
      </w:r>
      <w:r>
        <w:rPr>
          <w:rFonts w:ascii="Times New Roman" w:hAnsi="Times New Roman" w:eastAsia="宋体"/>
          <w:sz w:val="21"/>
        </w:rPr>
        <w:t xml:space="preserve">：三项全部通过 → 进入阶段 2；层一不通过 → </w:t>
      </w:r>
      <w:r>
        <w:rPr>
          <w:rFonts w:ascii="Times New Roman" w:hAnsi="Times New Roman" w:eastAsia="宋体"/>
          <w:b/>
          <w:sz w:val="21"/>
        </w:rPr>
        <w:t>终止，且换国家无效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退出机制</w:t>
      </w:r>
      <w:r>
        <w:rPr>
          <w:rFonts w:ascii="Times New Roman" w:hAnsi="Times New Roman" w:eastAsia="宋体"/>
          <w:sz w:val="21"/>
        </w:rPr>
        <w:t>：本阶段无沉没成本。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阶段 2：选址与议价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sz w:val="21"/>
        </w:rPr>
        <w:t>：向泰国（Freyr AI 等）、印尼、马来西亚发 RFQ，索取可签署报价、交付期、电价条款与提前终止条款。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判据</w:t>
      </w:r>
      <w:r>
        <w:rPr>
          <w:rFonts w:ascii="Times New Roman" w:hAnsi="Times New Roman" w:eastAsia="宋体"/>
          <w:sz w:val="21"/>
        </w:rPr>
        <w:t>：能否谈到</w:t>
      </w:r>
      <w:r>
        <w:rPr>
          <w:rFonts w:ascii="Times New Roman" w:hAnsi="Times New Roman" w:eastAsia="宋体"/>
          <w:b/>
          <w:sz w:val="21"/>
        </w:rPr>
        <w:t>提前终止权</w:t>
      </w:r>
      <w:r>
        <w:rPr>
          <w:rFonts w:ascii="Times New Roman" w:hAnsi="Times New Roman" w:eastAsia="宋体"/>
          <w:sz w:val="21"/>
        </w:rPr>
        <w:t>是硬门槛，比价格更重要。若只能签无终止权的 36 个月，须明确接受 $569,983 量级的下行敞口，否则</w:t>
      </w:r>
      <w:r>
        <w:rPr>
          <w:rFonts w:ascii="Times New Roman" w:hAnsi="Times New Roman" w:eastAsia="宋体"/>
          <w:b/>
          <w:sz w:val="21"/>
        </w:rPr>
        <w:t>停止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同时补齐数据缺口</w:t>
      </w:r>
      <w:r>
        <w:rPr>
          <w:rFonts w:ascii="Times New Roman" w:hAnsi="Times New Roman" w:eastAsia="宋体"/>
          <w:sz w:val="21"/>
        </w:rPr>
        <w:t>：G-1（各国托管实际牌价）、G-2（泰印菲电价）、G-4（泰印菲是否有 AI 芯片许可制）。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阶段 3：短租实测（不超过 1 个月）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sz w:val="21"/>
        </w:rPr>
        <w:t>：按量或月付短租一台，用</w:t>
      </w:r>
      <w:r>
        <w:rPr>
          <w:rFonts w:ascii="Times New Roman" w:hAnsi="Times New Roman" w:eastAsia="宋体"/>
          <w:b/>
          <w:sz w:val="21"/>
        </w:rPr>
        <w:t>真实业务流量</w:t>
      </w:r>
      <w:r>
        <w:rPr>
          <w:rFonts w:ascii="Times New Roman" w:hAnsi="Times New Roman" w:eastAsia="宋体"/>
          <w:sz w:val="21"/>
        </w:rPr>
        <w:t>复测吞吐、冷启动、故障率。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判据</w:t>
      </w:r>
      <w:r>
        <w:rPr>
          <w:rFonts w:ascii="Times New Roman" w:hAnsi="Times New Roman" w:eastAsia="宋体"/>
          <w:sz w:val="21"/>
        </w:rPr>
        <w:t>：实测满载聚合吞吐 ≥ 建模值的 80%（基准画像 ≥ 840 tok/s）、TTFT P90 ≤ 1,100 ms + 当地网络增量 → 进入阶段 4；显著低于 → 重估模型后再决策。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为什么</w:t>
      </w:r>
      <w:r>
        <w:rPr>
          <w:rFonts w:ascii="Times New Roman" w:hAnsi="Times New Roman" w:eastAsia="宋体"/>
          <w:sz w:val="21"/>
        </w:rPr>
        <w:t>：第三方基准用的是随机数据且发布于开源后 9 天内，必须用自己的流量复核。</w:t>
      </w:r>
    </w:p>
    <w:p>
      <w:pPr>
        <w:pStyle w:val="Heading3"/>
        <w:keepNext/>
        <w:spacing w:before="200" w:after="120"/>
      </w:pPr>
      <w:r>
        <w:rPr>
          <w:rFonts w:ascii="Segoe UI" w:hAnsi="Segoe UI" w:eastAsia="微软雅黑"/>
          <w:b/>
          <w:color w:val="1F3B63"/>
          <w:sz w:val="25"/>
        </w:rPr>
        <w:t>阶段 4：签约与滚动扩张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动作</w:t>
      </w:r>
      <w:r>
        <w:rPr>
          <w:rFonts w:ascii="Times New Roman" w:hAnsi="Times New Roman" w:eastAsia="宋体"/>
          <w:sz w:val="21"/>
        </w:rPr>
        <w:t>：备足 $132,515 初始资金，</w:t>
      </w:r>
      <w:r>
        <w:rPr>
          <w:rFonts w:ascii="Times New Roman" w:hAnsi="Times New Roman" w:eastAsia="宋体"/>
          <w:b/>
          <w:sz w:val="21"/>
        </w:rPr>
        <w:t>另按峰值 $530,059 规划扩张期资金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扩张判据</w:t>
      </w:r>
      <w:r>
        <w:rPr>
          <w:rFonts w:ascii="Times New Roman" w:hAnsi="Times New Roman" w:eastAsia="宋体"/>
          <w:sz w:val="21"/>
        </w:rPr>
        <w:t>：现有节点利用率连续 2 个月 ≥ 90%，</w:t>
      </w:r>
      <w:r>
        <w:rPr>
          <w:rFonts w:ascii="Times New Roman" w:hAnsi="Times New Roman" w:eastAsia="宋体"/>
          <w:b/>
          <w:sz w:val="21"/>
        </w:rPr>
        <w:t>且</w:t>
      </w:r>
      <w:r>
        <w:rPr>
          <w:rFonts w:ascii="Times New Roman" w:hAnsi="Times New Roman" w:eastAsia="宋体"/>
          <w:sz w:val="21"/>
        </w:rPr>
        <w:t>现金 ≥ 一台节点启动资金 + 3 个月缓冲，</w:t>
      </w:r>
      <w:r>
        <w:rPr>
          <w:rFonts w:ascii="Times New Roman" w:hAnsi="Times New Roman" w:eastAsia="宋体"/>
          <w:b/>
          <w:sz w:val="21"/>
        </w:rPr>
        <w:t>且</w:t>
      </w:r>
      <w:r>
        <w:rPr>
          <w:rFonts w:ascii="Times New Roman" w:hAnsi="Times New Roman" w:eastAsia="宋体"/>
          <w:sz w:val="21"/>
        </w:rPr>
        <w:t>供给与许可可得，三条同时满足才增开下一台。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止损线</w:t>
      </w:r>
      <w:r>
        <w:rPr>
          <w:rFonts w:ascii="Times New Roman" w:hAnsi="Times New Roman" w:eastAsia="宋体"/>
          <w:sz w:val="21"/>
        </w:rPr>
        <w:t>：连续 2 个月利用率低于盈亏平衡线的 60%、或售价跌破单位现金成本、或东道国监管出现不利变化 → 启动减租/搬迁/退出流程。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十四、局限与自我批评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主动列出本报告最可能出错的地方，供任何人攻击。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年化价格侵蚀率是最弱的一环，也是最关键的一环。</w:t>
      </w:r>
      <w:r>
        <w:rPr>
          <w:rFonts w:ascii="Times New Roman" w:hAnsi="Times New Roman" w:eastAsia="宋体"/>
          <w:sz w:val="21"/>
        </w:rPr>
        <w:t xml:space="preserve"> 它决定九种情景中哪些成立，却完全没有历史序列可拟合。若实际侵蚀为 0%，中性情景 IRR 13.3%、乐观 245.5%，结论会从"高度存疑"变成"值得做"。</w:t>
      </w:r>
      <w:r>
        <w:rPr>
          <w:rFonts w:ascii="Times New Roman" w:hAnsi="Times New Roman" w:eastAsia="宋体"/>
          <w:b/>
          <w:sz w:val="21"/>
        </w:rPr>
        <w:t>这一条足以推翻本报告的主结论，请优先攻击它。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利用率爬坡曲线纯属假设。</w:t>
      </w:r>
      <w:r>
        <w:rPr>
          <w:rFonts w:ascii="Times New Roman" w:hAnsi="Times New Roman" w:eastAsia="宋体"/>
          <w:sz w:val="21"/>
        </w:rPr>
        <w:t xml:space="preserve"> 三情景的设定取决于项目方自身获客能力，非外部事实。阶段 0 的作用就是用真实数据替换它。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各国托管价是"用比例推绝对值"得来的，不是报价。</w:t>
      </w:r>
      <w:r>
        <w:rPr>
          <w:rFonts w:ascii="Times New Roman" w:hAnsi="Times New Roman" w:eastAsia="宋体"/>
          <w:sz w:val="21"/>
        </w:rPr>
        <w:t xml:space="preserve"> 绝对水平以 CBRE 的新加坡均价为锚，相对比例取 simpler.cloud 各国区间中值之比——而后者的绝对值与 CBRE 相差约 4 倍、口径不明。这是全模型唯一一处比例外推，已登记为缺口 G-1，</w:t>
      </w:r>
      <w:r>
        <w:rPr>
          <w:rFonts w:ascii="Times New Roman" w:hAnsi="Times New Roman" w:eastAsia="宋体"/>
          <w:b/>
          <w:sz w:val="21"/>
        </w:rPr>
        <w:t>必须由 RFQ 实际报价替换后才能用于签约决策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泰国、印尼、菲律宾的电价查不到</w:t>
      </w:r>
      <w:r>
        <w:rPr>
          <w:rFonts w:ascii="Times New Roman" w:hAnsi="Times New Roman" w:eastAsia="宋体"/>
          <w:sz w:val="21"/>
        </w:rPr>
        <w:t>（G-2），因此这三国的出租方成本反推是在"电价与马来西亚相同"的显式假设下做的。印尼"可持续"这个结论依赖该假设。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短上下文标定点的并发数与长上下文点不一致</w:t>
      </w:r>
      <w:r>
        <w:rPr>
          <w:rFonts w:ascii="Times New Roman" w:hAnsi="Times New Roman" w:eastAsia="宋体"/>
          <w:sz w:val="21"/>
        </w:rPr>
        <w:t>（c=64 vs c=10），混合使用会把"并发效应"与"上下文效应"部分混淆。方向上偏保守。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吞吐数据的时效性最弱。</w:t>
      </w:r>
      <w:r>
        <w:rPr>
          <w:rFonts w:ascii="Times New Roman" w:hAnsi="Times New Roman" w:eastAsia="宋体"/>
          <w:sz w:val="21"/>
        </w:rPr>
        <w:t xml:space="preserve"> 三组实测都产生于 K3 开放权重后 9 天内，推理引擎在快速迭代，未来吞吐大概率改善。若吞吐提升 50%，基准盈亏平衡点将从 43.6% 降到约 29%。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三层筛查中后五国的 Group 归属是"未见于所查节录"而非"已确认不在"。</w:t>
      </w:r>
      <w:r>
        <w:rPr>
          <w:rFonts w:ascii="Times New Roman" w:hAnsi="Times New Roman" w:eastAsia="宋体"/>
          <w:sz w:val="21"/>
        </w:rPr>
        <w:t xml:space="preserve"> 这是节录范围的局限，须律师用完整 EAR 附录确认。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菲律宾几乎是空白</w:t>
      </w:r>
      <w:r>
        <w:rPr>
          <w:rFonts w:ascii="Times New Roman" w:hAnsi="Times New Roman" w:eastAsia="宋体"/>
          <w:sz w:val="21"/>
        </w:rPr>
        <w:t>：延迟（G-3）、托管价（G-1）、是否有 AI 芯片许可制（G-4）全部缺失。本报告没有把它排除，但也没有能力评价它——</w:t>
      </w:r>
      <w:r>
        <w:rPr>
          <w:rFonts w:ascii="Times New Roman" w:hAnsi="Times New Roman" w:eastAsia="宋体"/>
          <w:b/>
          <w:sz w:val="21"/>
        </w:rPr>
        <w:t>留空就是留空，不用估值填补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未建模的收入可能性</w:t>
      </w:r>
      <w:r>
        <w:rPr>
          <w:rFonts w:ascii="Times New Roman" w:hAnsi="Times New Roman" w:eastAsia="宋体"/>
          <w:sz w:val="21"/>
        </w:rPr>
        <w:t>：批发给中转商、私有化部署、微调服务等可能带来高于零售 API 的单价。本报告只测算了"零售售卖 token"这一种模式。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未建模的成本项</w:t>
      </w:r>
      <w:r>
        <w:rPr>
          <w:rFonts w:ascii="Times New Roman" w:hAnsi="Times New Roman" w:eastAsia="宋体"/>
          <w:sz w:val="21"/>
        </w:rPr>
        <w:t>：客服、坏账、法务、东道国侧的合规费用均未计入，实际成本只会更高。</w:t>
      </w:r>
    </w:p>
    <w:p>
      <w:pPr>
        <w:pStyle w:val="ListNumber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汇率按静态 6.7917 处理</w:t>
      </w:r>
      <w:r>
        <w:rPr>
          <w:rFonts w:ascii="Times New Roman" w:hAnsi="Times New Roman" w:eastAsia="宋体"/>
          <w:sz w:val="21"/>
        </w:rPr>
        <w:t>，未建模波动。收入以美元计、成本以人民币计，人民币升值直接压缩利润。已列入单因素敏感性（</w:t>
      </w:r>
      <w:r>
        <w:rPr>
          <w:rFonts w:ascii="Times New Roman" w:hAnsi="Times New Roman" w:eastAsia="宋体"/>
          <w:sz w:val="21"/>
        </w:rPr>
        <w:t>`outputs/07_sensitivity_neutral.csv`</w:t>
      </w:r>
      <w:r>
        <w:rPr>
          <w:rFonts w:ascii="Times New Roman" w:hAnsi="Times New Roman" w:eastAsia="宋体"/>
          <w:color w:val="606060"/>
          <w:sz w:val="18"/>
        </w:rPr>
        <w:t>（outputs/07_sensitivity_neutral.csv）</w:t>
      </w:r>
      <w:r>
        <w:rPr>
          <w:rFonts w:ascii="Times New Roman" w:hAnsi="Times New Roman" w:eastAsia="宋体"/>
          <w:sz w:val="21"/>
        </w:rPr>
        <w:t>）。</w:t>
      </w:r>
    </w:p>
    <w:p>
      <w:pPr>
        <w:spacing w:before="40" w:after="160"/>
        <w:pBdr>
          <w:bottom w:val="single" w:sz="6" w:color="D0D0D0"/>
        </w:pBdr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附录 A：产物清单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592"/>
            <w:shd w:val="clear" w:color="auto" w:fill="1F3B63"/>
          </w:tcPr>
          <w:p>
            <w:pPr>
              <w:spacing w:after="40" w:before="4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`outputs/01_screen_layer2_destination.csv`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（outputs/01_screen_layer2_destination.csv）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层二目的地筛查：各国 Country Group 归属与结论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`outputs/01_screen_layer3_host.csv`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（outputs/01_screen_layer3_host.csv）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层三东道国管制，含未核实标记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`outputs/01_structure_recommendation.csv`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（outputs/01_structure_recommendation.csv）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交易形态对比：算力即服务 vs 裸金属租赁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`outputs/02_rent_benchmarks.csv`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（outputs/02_rent_benchmarks.csv）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租金七方参照并排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`outputs/02_lessor_cost_buildup.csv`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（outputs/02_lessor_cost_buildup.csv）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新加坡与马来西亚出租方成本反推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`outputs/02_lessor_cost_by_country.csv`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（outputs/02_lessor_cost_by_country.csv）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四国成本与"该价对出租方是否可持续"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`outputs/03_siting_matrix.csv`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（outputs/03_siting_matrix.csv）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八维选址对比矩阵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`outputs/03_negotiating_power.csv`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（outputs/03_negotiating_power.csv）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空置率与市场性质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`outputs/03_structure_tax.csv`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（outputs/03_structure_tax.csv）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注册地 × 算力地的税负对比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`outputs/03_latency_slo.csv`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（outputs/03_latency_slo.csv）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各选址的 TTFT 与 SLO 达标情况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`outputs/04_capacity_by_profile.csv`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（outputs/04_capacity_by_profile.csv）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四类画像的产能、收入与平衡点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`outputs/05_breakeven_by_rent.csv`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（outputs/05_breakeven_by_rent.csv）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租金档位 × 画像的平衡利用率矩阵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`outputs/05_breakeven_surface.csv`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（outputs/05_breakeven_surface.csv）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售价系数 × 租金的平衡曲面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`outputs/05_crossover.csv`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（outputs/05_crossover.csv）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自建追平采购所需的月请求量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`outputs/05_unit_cost.csv`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（outputs/05_unit_cost.csv）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自建 vs 采购的单位成本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`outputs/06_roll_*.csv`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九种组合的逐月现金流（含清算期）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`outputs/06_roll_summary.csv`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（outputs/06_roll_summary.csv）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滚动复利汇总：IRR、MOIC、回本期、资金占用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`outputs/07_sensitivity_*.csv`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单因素敏感性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`outputs/07_cross_site.csv`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（outputs/07_cross_site.csv）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跨选址并排现金流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`outputs/07_downside_asymmetry.csv`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（outputs/07_downside_asymmetry.csv）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长租约下行不对称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`outputs/08_monte_carlo.csv`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（outputs/08_monte_carlo.csv）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2,000 次蒙特卡洛明细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`outputs/08_monte_carlo_summary.csv`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（outputs/08_monte_carlo_summary.csv）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蒙特卡洛汇总分位数</w:t>
            </w:r>
          </w:p>
        </w:tc>
      </w:tr>
      <w:tr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`outputs/facts.json`</w:t>
            </w:r>
            <w:r>
              <w:rPr>
                <w:rFonts w:ascii="Times New Roman" w:hAnsi="Times New Roman" w:eastAsia="宋体"/>
                <w:color w:val="606060"/>
                <w:sz w:val="15"/>
              </w:rPr>
              <w:t>（outputs/facts.json）</w:t>
            </w:r>
          </w:p>
        </w:tc>
        <w:tc>
          <w:tcPr>
            <w:tcW w:type="dxa" w:w="4592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正文引用的全部关键数字快照</w:t>
            </w:r>
          </w:p>
        </w:tc>
      </w:tr>
      <w:tr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Consolas" w:hAnsi="Consolas" w:eastAsia="Consolas"/>
                <w:sz w:val="17"/>
              </w:rPr>
              <w:t>outputs/fig1..fig6.png</w:t>
            </w:r>
          </w:p>
        </w:tc>
        <w:tc>
          <w:tcPr>
            <w:tcW w:type="dxa" w:w="4592"/>
            <w:shd w:val="clear" w:color="auto" w:fill="F7F8FA"/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sz w:val="18"/>
              </w:rPr>
              <w:t>六张图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320" w:after="120"/>
      </w:pPr>
      <w:r>
        <w:rPr>
          <w:rFonts w:ascii="Segoe UI" w:hAnsi="Segoe UI" w:eastAsia="微软雅黑"/>
          <w:b/>
          <w:color w:val="1F3B63"/>
          <w:sz w:val="30"/>
        </w:rPr>
        <w:t>附录 B：与姊妹报告的关系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`../b300-kimi-k3/报告.md`</w:t>
      </w:r>
      <w:r>
        <w:rPr>
          <w:rFonts w:ascii="Times New Roman" w:hAnsi="Times New Roman" w:eastAsia="宋体"/>
          <w:color w:val="606060"/>
          <w:sz w:val="18"/>
        </w:rPr>
        <w:t>（../b300-kimi-k3/报告.md）</w:t>
      </w:r>
      <w:r>
        <w:rPr>
          <w:rFonts w:ascii="Times New Roman" w:hAnsi="Times New Roman" w:eastAsia="宋体"/>
          <w:sz w:val="21"/>
        </w:rPr>
        <w:t xml:space="preserve"> 分析同一商业模式在</w:t>
      </w:r>
      <w:r>
        <w:rPr>
          <w:rFonts w:ascii="Times New Roman" w:hAnsi="Times New Roman" w:eastAsia="宋体"/>
          <w:b/>
          <w:sz w:val="21"/>
        </w:rPr>
        <w:t>中国境内、35 万元/月</w:t>
      </w:r>
      <w:r>
        <w:rPr>
          <w:rFonts w:ascii="Times New Roman" w:hAnsi="Times New Roman" w:eastAsia="宋体"/>
          <w:sz w:val="21"/>
        </w:rPr>
        <w:t>的情形，结论是"在数学上不成立"。本报告分析</w:t>
      </w:r>
      <w:r>
        <w:rPr>
          <w:rFonts w:ascii="Times New Roman" w:hAnsi="Times New Roman" w:eastAsia="宋体"/>
          <w:b/>
          <w:sz w:val="21"/>
        </w:rPr>
        <w:t>东南亚、15 万元/月</w:t>
      </w:r>
      <w:r>
        <w:rPr>
          <w:rFonts w:ascii="Times New Roman" w:hAnsi="Times New Roman" w:eastAsia="宋体"/>
          <w:sz w:val="21"/>
        </w:rPr>
        <w:t>的情形。两份报告：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共用</w:t>
      </w:r>
      <w:r>
        <w:rPr>
          <w:rFonts w:ascii="Times New Roman" w:hAnsi="Times New Roman" w:eastAsia="宋体"/>
          <w:sz w:val="21"/>
        </w:rPr>
        <w:t>同一套技术事实（K3 规格、B300 规格、三组吞吐实测、许可证条款）与同一套方法论（时间预算产能模型、幂律插值、crossover 判据）；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口径差异</w:t>
      </w:r>
      <w:r>
        <w:rPr>
          <w:rFonts w:ascii="Times New Roman" w:hAnsi="Times New Roman" w:eastAsia="宋体"/>
          <w:sz w:val="21"/>
        </w:rPr>
        <w:t>：本报告以美元记账并区分双轨渠道费率，故同租金下基准画像平衡点为 43.6%，姊妹报告为 45.2%，差异来自支付费率口径（本报告聚合渠道无手续费）与杂项开支折算，可解释；</w:t>
      </w:r>
    </w:p>
    <w:p>
      <w:pPr>
        <w:pStyle w:val="ListBullet"/>
        <w:spacing w:after="60" w:line="312" w:lineRule="auto"/>
        <w:ind w:left="425"/>
      </w:pPr>
      <w:r>
        <w:rPr>
          <w:rFonts w:ascii="Times New Roman" w:hAnsi="Times New Roman" w:eastAsia="宋体"/>
          <w:b/>
          <w:sz w:val="21"/>
        </w:rPr>
        <w:t>本报告新增</w:t>
      </w:r>
      <w:r>
        <w:rPr>
          <w:rFonts w:ascii="Times New Roman" w:hAnsi="Times New Roman" w:eastAsia="宋体"/>
          <w:sz w:val="21"/>
        </w:rPr>
        <w:t>：三层合规筛查、多国选址、租金三路交叉验证、应收账期与营运资金、逐年计税、租约清算期与尾部义务、下行不对称、蒙特卡洛。</w:t>
      </w: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>两份报告合起来给出同一条结论的两个侧面：</w:t>
      </w:r>
      <w:r>
        <w:rPr>
          <w:rFonts w:ascii="Times New Roman" w:hAnsi="Times New Roman" w:eastAsia="宋体"/>
          <w:b/>
          <w:sz w:val="21"/>
        </w:rPr>
        <w:t>决定这门生意生死的，首先是租金价格，其次是价格侵蚀速度，最后才是技术。</w:t>
      </w:r>
    </w:p>
    <w:p>
      <w:pPr>
        <w:spacing w:before="40" w:after="160"/>
        <w:pBdr>
          <w:bottom w:val="single" w:sz="6" w:color="D0D0D0"/>
        </w:pBdr>
      </w:pPr>
    </w:p>
    <w:p>
      <w:pPr>
        <w:spacing w:after="120" w:line="324" w:lineRule="auto"/>
      </w:pPr>
      <w:r>
        <w:rPr>
          <w:rFonts w:ascii="Times New Roman" w:hAnsi="Times New Roman" w:eastAsia="宋体"/>
          <w:sz w:val="21"/>
        </w:rPr>
        <w:t xml:space="preserve">*本报告由模型自动生成数字、人工组织论证。所有结论可复算、可反驳。发现错误请直接以 </w:t>
      </w:r>
      <w:r>
        <w:rPr>
          <w:rFonts w:ascii="Consolas" w:hAnsi="Consolas" w:eastAsia="Consolas"/>
          <w:sz w:val="20"/>
        </w:rPr>
        <w:t>model/run_all.py</w:t>
      </w:r>
      <w:r>
        <w:rPr>
          <w:rFonts w:ascii="Times New Roman" w:hAnsi="Times New Roman" w:eastAsia="宋体"/>
          <w:sz w:val="21"/>
        </w:rPr>
        <w:t xml:space="preserve"> 复现并指出，我们会修正而非辩解。*</w:t>
      </w:r>
    </w:p>
    <w:sectPr w:rsidR="00FC693F" w:rsidRPr="0006063C" w:rsidSect="00034616">
      <w:footerReference w:type="default" r:id="rId1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0606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media.bis.gov/media/documents/bis-guidance-may-31-2026.pdf" TargetMode="External"/><Relationship Id="rId16" Type="http://schemas.openxmlformats.org/officeDocument/2006/relationships/hyperlink" Target="https://www.miti.gov.my/miti/resources/STA%20Folder/PDF%20file/[FINAL]_updated_8_Dec_INDUSTRY_GUIDELINE_IN_COMPLIANCE_TO_DIRECTIVE_OF_STRATEGIC_TRADE_CONTROLLER_NO_1_2025__ADVANCED_ARTIFICIAL_INTELLIGENCE_CHIPS.pdf" TargetMode="External"/><Relationship Id="rId17" Type="http://schemas.openxmlformats.org/officeDocument/2006/relationships/hyperlink" Target="https://raw.githubusercontent.com/MoonshotAI/Kimi-K3/main/LICENSE" TargetMode="External"/><Relationship Id="rId18" Type="http://schemas.openxmlformats.org/officeDocument/2006/relationships/image" Target="media/image7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