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jc w:val="center"/>
      </w:pPr>
      <w:r>
        <w:rPr>
          <w:rFonts w:ascii="Segoe UI" w:hAnsi="Segoe UI" w:eastAsia="微软雅黑"/>
          <w:b/>
          <w:color w:val="1F3B63"/>
          <w:sz w:val="40"/>
        </w:rPr>
        <w:t>信源档案与核验附录</w:t>
      </w:r>
    </w:p>
    <w:p>
      <w:pPr>
        <w:spacing w:after="120" w:line="324" w:lineRule="auto"/>
      </w:pPr>
      <w:r>
        <w:rPr>
          <w:rFonts w:ascii="Times New Roman" w:hAnsi="Times New Roman" w:eastAsia="宋体"/>
          <w:sz w:val="21"/>
        </w:rPr>
        <w:t>本报告的每一个外部事实都登记在此，含原文摘录、链接与访问日期。</w:t>
      </w:r>
      <w:r>
        <w:rPr>
          <w:rFonts w:ascii="Times New Roman" w:hAnsi="Times New Roman" w:eastAsia="宋体"/>
          <w:sz w:val="21"/>
        </w:rPr>
        <w:t>`model/params.yaml`</w:t>
      </w:r>
      <w:r>
        <w:rPr>
          <w:rFonts w:ascii="Times New Roman" w:hAnsi="Times New Roman" w:eastAsia="宋体"/>
          <w:color w:val="606060"/>
          <w:sz w:val="18"/>
        </w:rPr>
        <w:t>（model/params.yaml）</w:t>
      </w:r>
      <w:r>
        <w:rPr>
          <w:rFonts w:ascii="Times New Roman" w:hAnsi="Times New Roman" w:eastAsia="宋体"/>
          <w:sz w:val="21"/>
        </w:rPr>
        <w:t xml:space="preserve"> 中每个外生参数都在下表有对应编号，报告正文引用时标注 </w:t>
      </w:r>
      <w:r>
        <w:rPr>
          <w:rFonts w:ascii="Consolas" w:hAnsi="Consolas" w:eastAsia="Consolas"/>
          <w:sz w:val="20"/>
        </w:rPr>
        <w:t>[S-xx]</w:t>
      </w:r>
      <w:r>
        <w:rPr>
          <w:rFonts w:ascii="Times New Roman" w:hAnsi="Times New Roman" w:eastAsia="宋体"/>
          <w:sz w:val="21"/>
        </w:rPr>
        <w:t>。</w:t>
      </w:r>
    </w:p>
    <w:p>
      <w:pPr>
        <w:spacing w:after="120" w:line="324" w:lineRule="auto"/>
      </w:pPr>
      <w:r>
        <w:rPr>
          <w:rFonts w:ascii="Times New Roman" w:hAnsi="Times New Roman" w:eastAsia="宋体"/>
          <w:b/>
          <w:sz w:val="21"/>
        </w:rPr>
        <w:t>统一访问日期：2026-08-05（UTC+8）</w:t>
      </w:r>
      <w:r>
        <w:rPr>
          <w:rFonts w:ascii="Times New Roman" w:hAnsi="Times New Roman" w:eastAsia="宋体"/>
          <w:sz w:val="21"/>
        </w:rPr>
        <w:t>，个别条目另注。</w:t>
      </w:r>
    </w:p>
    <w:p>
      <w:pPr>
        <w:spacing w:after="120" w:line="324" w:lineRule="auto"/>
      </w:pPr>
      <w:r>
        <w:rPr>
          <w:rFonts w:ascii="Times New Roman" w:hAnsi="Times New Roman" w:eastAsia="宋体"/>
          <w:b/>
          <w:sz w:val="21"/>
        </w:rPr>
        <w:t>凡本档案未登记的数字，一律不得作为报告结论的依据。</w:t>
      </w:r>
      <w:r>
        <w:rPr>
          <w:rFonts w:ascii="Times New Roman" w:hAnsi="Times New Roman" w:eastAsia="宋体"/>
          <w:sz w:val="21"/>
        </w:rPr>
        <w:t xml:space="preserve"> 若某条事实存在互相矛盾的来源，一并记录矛盾并说明取舍理由（见"矛盾与取舍"）。查不到的数据登记在"数据缺口"，</w:t>
      </w:r>
      <w:r>
        <w:rPr>
          <w:rFonts w:ascii="Times New Roman" w:hAnsi="Times New Roman" w:eastAsia="宋体"/>
          <w:b/>
          <w:sz w:val="21"/>
        </w:rPr>
        <w:t>不用估值冒充事实</w:t>
      </w:r>
      <w:r>
        <w:rPr>
          <w:rFonts w:ascii="Times New Roman" w:hAnsi="Times New Roman" w:eastAsia="宋体"/>
          <w:sz w:val="21"/>
        </w:rPr>
        <w:t>。</w:t>
      </w:r>
    </w:p>
    <w:p>
      <w:pPr>
        <w:spacing w:after="120" w:line="324" w:lineRule="auto"/>
      </w:pPr>
      <w:r>
        <w:rPr>
          <w:rFonts w:ascii="Times New Roman" w:hAnsi="Times New Roman" w:eastAsia="宋体"/>
          <w:sz w:val="21"/>
        </w:rPr>
        <w:t xml:space="preserve">S-01 至 S-12 与姊妹报告 </w:t>
      </w:r>
      <w:r>
        <w:rPr>
          <w:rFonts w:ascii="Times New Roman" w:hAnsi="Times New Roman" w:eastAsia="宋体"/>
          <w:sz w:val="21"/>
        </w:rPr>
        <w:t>`../b300-kimi-k3/sources.md`</w:t>
      </w:r>
      <w:r>
        <w:rPr>
          <w:rFonts w:ascii="Times New Roman" w:hAnsi="Times New Roman" w:eastAsia="宋体"/>
          <w:color w:val="606060"/>
          <w:sz w:val="18"/>
        </w:rPr>
        <w:t>（../b300-kimi-k3/sources.md）</w:t>
      </w:r>
      <w:r>
        <w:rPr>
          <w:rFonts w:ascii="Times New Roman" w:hAnsi="Times New Roman" w:eastAsia="宋体"/>
          <w:sz w:val="21"/>
        </w:rPr>
        <w:t xml:space="preserve"> 共用，此处只摘录本报告实际使用的部分并补充新增条目。</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一、模型与硬件</w:t>
      </w:r>
    </w:p>
    <w:p>
      <w:pPr>
        <w:pStyle w:val="Heading3"/>
        <w:keepNext/>
        <w:spacing w:before="200" w:after="120"/>
      </w:pPr>
      <w:r>
        <w:rPr>
          <w:rFonts w:ascii="Segoe UI" w:hAnsi="Segoe UI" w:eastAsia="微软雅黑"/>
          <w:b/>
          <w:color w:val="1F3B63"/>
          <w:sz w:val="25"/>
        </w:rPr>
        <w:t>S-01 Kimi K3 模型规格</w:t>
      </w:r>
    </w:p>
    <w:p>
      <w:pPr>
        <w:spacing w:after="120" w:line="324" w:lineRule="auto"/>
      </w:pPr>
      <w:r>
        <w:rPr>
          <w:rFonts w:ascii="Times New Roman" w:hAnsi="Times New Roman" w:eastAsia="宋体"/>
          <w:sz w:val="21"/>
        </w:rPr>
        <w:t>来源：MoonshotAI 官方仓库 &lt;https://github.com/MoonshotAI/Kimi-K3&gt;（仓库创建于 2026-07-27T08:01:37Z）</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color="auto" w:fill="1F3B63"/>
          </w:tcPr>
          <w:p>
            <w:pPr>
              <w:spacing w:after="40" w:before="40"/>
              <w:jc w:val="center"/>
            </w:pPr>
            <w:r>
              <w:rPr>
                <w:rFonts w:ascii="Segoe UI" w:hAnsi="Segoe UI" w:eastAsia="微软雅黑"/>
                <w:b/>
                <w:color w:val="FFFFFF"/>
                <w:sz w:val="18"/>
              </w:rPr>
              <w:t>项</w:t>
            </w:r>
          </w:p>
        </w:tc>
        <w:tc>
          <w:tcPr>
            <w:tcW w:type="dxa" w:w="4592"/>
            <w:shd w:val="clear" w:color="auto" w:fill="1F3B63"/>
          </w:tcPr>
          <w:p>
            <w:pPr>
              <w:spacing w:after="40" w:before="40"/>
              <w:jc w:val="center"/>
            </w:pPr>
            <w:r>
              <w:rPr>
                <w:rFonts w:ascii="Segoe UI" w:hAnsi="Segoe UI" w:eastAsia="微软雅黑"/>
                <w:b/>
                <w:color w:val="FFFFFF"/>
                <w:sz w:val="18"/>
              </w:rPr>
              <w:t>值</w:t>
            </w:r>
          </w:p>
        </w:tc>
      </w:tr>
      <w:tr>
        <w:tc>
          <w:tcPr>
            <w:tcW w:type="dxa" w:w="4592"/>
          </w:tcPr>
          <w:p>
            <w:pPr>
              <w:spacing w:after="40" w:before="40"/>
              <w:jc w:val="left"/>
            </w:pPr>
            <w:r>
              <w:rPr>
                <w:rFonts w:ascii="Times New Roman" w:hAnsi="Times New Roman" w:eastAsia="宋体"/>
                <w:sz w:val="18"/>
              </w:rPr>
              <w:t>Architecture</w:t>
            </w:r>
          </w:p>
        </w:tc>
        <w:tc>
          <w:tcPr>
            <w:tcW w:type="dxa" w:w="4592"/>
          </w:tcPr>
          <w:p>
            <w:pPr>
              <w:spacing w:after="40" w:before="40"/>
              <w:jc w:val="left"/>
            </w:pPr>
            <w:r>
              <w:rPr>
                <w:rFonts w:ascii="Times New Roman" w:hAnsi="Times New Roman" w:eastAsia="宋体"/>
                <w:sz w:val="18"/>
              </w:rPr>
              <w:t>Mixture-of-Experts (MoE)</w:t>
            </w:r>
          </w:p>
        </w:tc>
      </w:tr>
      <w:tr>
        <w:tc>
          <w:tcPr>
            <w:tcW w:type="dxa" w:w="4592"/>
            <w:shd w:val="clear" w:color="auto" w:fill="F7F8FA"/>
          </w:tcPr>
          <w:p>
            <w:pPr>
              <w:spacing w:after="40" w:before="40"/>
              <w:jc w:val="left"/>
            </w:pPr>
            <w:r>
              <w:rPr>
                <w:rFonts w:ascii="Times New Roman" w:hAnsi="Times New Roman" w:eastAsia="宋体"/>
                <w:sz w:val="18"/>
              </w:rPr>
              <w:t>Total Parameters</w:t>
            </w:r>
          </w:p>
        </w:tc>
        <w:tc>
          <w:tcPr>
            <w:tcW w:type="dxa" w:w="4592"/>
            <w:shd w:val="clear" w:color="auto" w:fill="F7F8FA"/>
          </w:tcPr>
          <w:p>
            <w:pPr>
              <w:spacing w:after="40" w:before="40"/>
              <w:jc w:val="left"/>
            </w:pPr>
            <w:r>
              <w:rPr>
                <w:rFonts w:ascii="Times New Roman" w:hAnsi="Times New Roman" w:eastAsia="宋体"/>
                <w:sz w:val="18"/>
              </w:rPr>
              <w:t>2.8T</w:t>
            </w:r>
          </w:p>
        </w:tc>
      </w:tr>
      <w:tr>
        <w:tc>
          <w:tcPr>
            <w:tcW w:type="dxa" w:w="4592"/>
          </w:tcPr>
          <w:p>
            <w:pPr>
              <w:spacing w:after="40" w:before="40"/>
              <w:jc w:val="left"/>
            </w:pPr>
            <w:r>
              <w:rPr>
                <w:rFonts w:ascii="Times New Roman" w:hAnsi="Times New Roman" w:eastAsia="宋体"/>
                <w:sz w:val="18"/>
              </w:rPr>
              <w:t>Activated Parameters</w:t>
            </w:r>
          </w:p>
        </w:tc>
        <w:tc>
          <w:tcPr>
            <w:tcW w:type="dxa" w:w="4592"/>
          </w:tcPr>
          <w:p>
            <w:pPr>
              <w:spacing w:after="40" w:before="40"/>
              <w:jc w:val="left"/>
            </w:pPr>
            <w:r>
              <w:rPr>
                <w:rFonts w:ascii="Times New Roman" w:hAnsi="Times New Roman" w:eastAsia="宋体"/>
                <w:sz w:val="18"/>
              </w:rPr>
              <w:t>104B</w:t>
            </w:r>
          </w:p>
        </w:tc>
      </w:tr>
      <w:tr>
        <w:tc>
          <w:tcPr>
            <w:tcW w:type="dxa" w:w="4592"/>
            <w:shd w:val="clear" w:color="auto" w:fill="F7F8FA"/>
          </w:tcPr>
          <w:p>
            <w:pPr>
              <w:spacing w:after="40" w:before="40"/>
              <w:jc w:val="left"/>
            </w:pPr>
            <w:r>
              <w:rPr>
                <w:rFonts w:ascii="Times New Roman" w:hAnsi="Times New Roman" w:eastAsia="宋体"/>
                <w:sz w:val="18"/>
              </w:rPr>
              <w:t>Number of Layers</w:t>
            </w:r>
          </w:p>
        </w:tc>
        <w:tc>
          <w:tcPr>
            <w:tcW w:type="dxa" w:w="4592"/>
            <w:shd w:val="clear" w:color="auto" w:fill="F7F8FA"/>
          </w:tcPr>
          <w:p>
            <w:pPr>
              <w:spacing w:after="40" w:before="40"/>
              <w:jc w:val="left"/>
            </w:pPr>
            <w:r>
              <w:rPr>
                <w:rFonts w:ascii="Times New Roman" w:hAnsi="Times New Roman" w:eastAsia="宋体"/>
                <w:sz w:val="18"/>
              </w:rPr>
              <w:t>93（1 dense + 69 KDA + 24 Gated MLA）</w:t>
            </w:r>
          </w:p>
        </w:tc>
      </w:tr>
      <w:tr>
        <w:tc>
          <w:tcPr>
            <w:tcW w:type="dxa" w:w="4592"/>
          </w:tcPr>
          <w:p>
            <w:pPr>
              <w:spacing w:after="40" w:before="40"/>
              <w:jc w:val="left"/>
            </w:pPr>
            <w:r>
              <w:rPr>
                <w:rFonts w:ascii="Times New Roman" w:hAnsi="Times New Roman" w:eastAsia="宋体"/>
                <w:sz w:val="18"/>
              </w:rPr>
              <w:t>Latent MoE Dimension</w:t>
            </w:r>
          </w:p>
        </w:tc>
        <w:tc>
          <w:tcPr>
            <w:tcW w:type="dxa" w:w="4592"/>
          </w:tcPr>
          <w:p>
            <w:pPr>
              <w:spacing w:after="40" w:before="40"/>
              <w:jc w:val="left"/>
            </w:pPr>
            <w:r>
              <w:rPr>
                <w:rFonts w:ascii="Times New Roman" w:hAnsi="Times New Roman" w:eastAsia="宋体"/>
                <w:sz w:val="18"/>
              </w:rPr>
              <w:t>3584</w:t>
            </w:r>
          </w:p>
        </w:tc>
      </w:tr>
      <w:tr>
        <w:tc>
          <w:tcPr>
            <w:tcW w:type="dxa" w:w="4592"/>
            <w:shd w:val="clear" w:color="auto" w:fill="F7F8FA"/>
          </w:tcPr>
          <w:p>
            <w:pPr>
              <w:spacing w:after="40" w:before="40"/>
              <w:jc w:val="left"/>
            </w:pPr>
            <w:r>
              <w:rPr>
                <w:rFonts w:ascii="Times New Roman" w:hAnsi="Times New Roman" w:eastAsia="宋体"/>
                <w:sz w:val="18"/>
              </w:rPr>
              <w:t>MoE Hidden Dimension (per Expert)</w:t>
            </w:r>
          </w:p>
        </w:tc>
        <w:tc>
          <w:tcPr>
            <w:tcW w:type="dxa" w:w="4592"/>
            <w:shd w:val="clear" w:color="auto" w:fill="F7F8FA"/>
          </w:tcPr>
          <w:p>
            <w:pPr>
              <w:spacing w:after="40" w:before="40"/>
              <w:jc w:val="left"/>
            </w:pPr>
            <w:r>
              <w:rPr>
                <w:rFonts w:ascii="Times New Roman" w:hAnsi="Times New Roman" w:eastAsia="宋体"/>
                <w:sz w:val="18"/>
              </w:rPr>
              <w:t>3072</w:t>
            </w:r>
          </w:p>
        </w:tc>
      </w:tr>
      <w:tr>
        <w:tc>
          <w:tcPr>
            <w:tcW w:type="dxa" w:w="4592"/>
          </w:tcPr>
          <w:p>
            <w:pPr>
              <w:spacing w:after="40" w:before="40"/>
              <w:jc w:val="left"/>
            </w:pPr>
            <w:r>
              <w:rPr>
                <w:rFonts w:ascii="Times New Roman" w:hAnsi="Times New Roman" w:eastAsia="宋体"/>
                <w:sz w:val="18"/>
              </w:rPr>
              <w:t>Number of Experts</w:t>
            </w:r>
          </w:p>
        </w:tc>
        <w:tc>
          <w:tcPr>
            <w:tcW w:type="dxa" w:w="4592"/>
          </w:tcPr>
          <w:p>
            <w:pPr>
              <w:spacing w:after="40" w:before="40"/>
              <w:jc w:val="left"/>
            </w:pPr>
            <w:r>
              <w:rPr>
                <w:rFonts w:ascii="Times New Roman" w:hAnsi="Times New Roman" w:eastAsia="宋体"/>
                <w:sz w:val="18"/>
              </w:rPr>
              <w:t>896</w:t>
            </w:r>
          </w:p>
        </w:tc>
      </w:tr>
      <w:tr>
        <w:tc>
          <w:tcPr>
            <w:tcW w:type="dxa" w:w="4592"/>
            <w:shd w:val="clear" w:color="auto" w:fill="F7F8FA"/>
          </w:tcPr>
          <w:p>
            <w:pPr>
              <w:spacing w:after="40" w:before="40"/>
              <w:jc w:val="left"/>
            </w:pPr>
            <w:r>
              <w:rPr>
                <w:rFonts w:ascii="Times New Roman" w:hAnsi="Times New Roman" w:eastAsia="宋体"/>
                <w:sz w:val="18"/>
              </w:rPr>
              <w:t>Selected Experts per Token</w:t>
            </w:r>
          </w:p>
        </w:tc>
        <w:tc>
          <w:tcPr>
            <w:tcW w:type="dxa" w:w="4592"/>
            <w:shd w:val="clear" w:color="auto" w:fill="F7F8FA"/>
          </w:tcPr>
          <w:p>
            <w:pPr>
              <w:spacing w:after="40" w:before="40"/>
              <w:jc w:val="left"/>
            </w:pPr>
            <w:r>
              <w:rPr>
                <w:rFonts w:ascii="Times New Roman" w:hAnsi="Times New Roman" w:eastAsia="宋体"/>
                <w:sz w:val="18"/>
              </w:rPr>
              <w:t>16</w:t>
            </w:r>
          </w:p>
        </w:tc>
      </w:tr>
      <w:tr>
        <w:tc>
          <w:tcPr>
            <w:tcW w:type="dxa" w:w="4592"/>
          </w:tcPr>
          <w:p>
            <w:pPr>
              <w:spacing w:after="40" w:before="40"/>
              <w:jc w:val="left"/>
            </w:pPr>
            <w:r>
              <w:rPr>
                <w:rFonts w:ascii="Times New Roman" w:hAnsi="Times New Roman" w:eastAsia="宋体"/>
                <w:sz w:val="18"/>
              </w:rPr>
              <w:t>Number of Shared Experts</w:t>
            </w:r>
          </w:p>
        </w:tc>
        <w:tc>
          <w:tcPr>
            <w:tcW w:type="dxa" w:w="4592"/>
          </w:tcPr>
          <w:p>
            <w:pPr>
              <w:spacing w:after="40" w:before="40"/>
              <w:jc w:val="left"/>
            </w:pPr>
            <w:r>
              <w:rPr>
                <w:rFonts w:ascii="Times New Roman" w:hAnsi="Times New Roman" w:eastAsia="宋体"/>
                <w:sz w:val="18"/>
              </w:rPr>
              <w:t>2</w:t>
            </w:r>
          </w:p>
        </w:tc>
      </w:tr>
      <w:tr>
        <w:tc>
          <w:tcPr>
            <w:tcW w:type="dxa" w:w="4592"/>
            <w:shd w:val="clear" w:color="auto" w:fill="F7F8FA"/>
          </w:tcPr>
          <w:p>
            <w:pPr>
              <w:spacing w:after="40" w:before="40"/>
              <w:jc w:val="left"/>
            </w:pPr>
            <w:r>
              <w:rPr>
                <w:rFonts w:ascii="Times New Roman" w:hAnsi="Times New Roman" w:eastAsia="宋体"/>
                <w:sz w:val="18"/>
              </w:rPr>
              <w:t>Context Length</w:t>
            </w:r>
          </w:p>
        </w:tc>
        <w:tc>
          <w:tcPr>
            <w:tcW w:type="dxa" w:w="4592"/>
            <w:shd w:val="clear" w:color="auto" w:fill="F7F8FA"/>
          </w:tcPr>
          <w:p>
            <w:pPr>
              <w:spacing w:after="40" w:before="40"/>
              <w:jc w:val="left"/>
            </w:pPr>
            <w:r>
              <w:rPr>
                <w:rFonts w:ascii="Times New Roman" w:hAnsi="Times New Roman" w:eastAsia="宋体"/>
                <w:sz w:val="18"/>
              </w:rPr>
              <w:t>1,048,576</w:t>
            </w:r>
          </w:p>
        </w:tc>
      </w:tr>
      <w:tr>
        <w:tc>
          <w:tcPr>
            <w:tcW w:type="dxa" w:w="4592"/>
          </w:tcPr>
          <w:p>
            <w:pPr>
              <w:spacing w:after="40" w:before="40"/>
              <w:jc w:val="left"/>
            </w:pPr>
            <w:r>
              <w:rPr>
                <w:rFonts w:ascii="Times New Roman" w:hAnsi="Times New Roman" w:eastAsia="宋体"/>
                <w:sz w:val="18"/>
              </w:rPr>
              <w:t>Quantization</w:t>
            </w:r>
          </w:p>
        </w:tc>
        <w:tc>
          <w:tcPr>
            <w:tcW w:type="dxa" w:w="4592"/>
          </w:tcPr>
          <w:p>
            <w:pPr>
              <w:spacing w:after="40" w:before="40"/>
              <w:jc w:val="left"/>
            </w:pPr>
            <w:r>
              <w:rPr>
                <w:rFonts w:ascii="Times New Roman" w:hAnsi="Times New Roman" w:eastAsia="宋体"/>
                <w:sz w:val="18"/>
              </w:rPr>
              <w:t>MXFP4 weights / MXFP8 activations（quantization-aware training）</w:t>
            </w:r>
          </w:p>
        </w:tc>
      </w:tr>
    </w:tbl>
    <w:p>
      <w:pPr>
        <w:spacing w:after="80"/>
      </w:pPr>
    </w:p>
    <w:p>
      <w:pPr>
        <w:spacing w:after="120" w:line="324" w:lineRule="auto"/>
      </w:pPr>
      <w:r>
        <w:rPr>
          <w:rFonts w:ascii="Times New Roman" w:hAnsi="Times New Roman" w:eastAsia="宋体"/>
          <w:b/>
          <w:sz w:val="21"/>
        </w:rPr>
        <w:t>关键性</w:t>
      </w:r>
      <w:r>
        <w:rPr>
          <w:rFonts w:ascii="Times New Roman" w:hAnsi="Times New Roman" w:eastAsia="宋体"/>
          <w:sz w:val="21"/>
        </w:rPr>
        <w:t>：</w:t>
      </w:r>
      <w:r>
        <w:rPr>
          <w:rFonts w:ascii="Consolas" w:hAnsi="Consolas" w:eastAsia="Consolas"/>
          <w:sz w:val="20"/>
        </w:rPr>
        <w:t>MXFP4 weights</w:t>
      </w:r>
      <w:r>
        <w:rPr>
          <w:rFonts w:ascii="Times New Roman" w:hAnsi="Times New Roman" w:eastAsia="宋体"/>
          <w:sz w:val="21"/>
        </w:rPr>
        <w:t xml:space="preserve"> 是量化感知训练的原生权重格式，不是事后压缩。这是单机装下 2.8T 模型的前提。</w:t>
      </w:r>
    </w:p>
    <w:p>
      <w:pPr>
        <w:spacing w:after="120" w:line="324" w:lineRule="auto"/>
      </w:pPr>
      <w:r>
        <w:rPr>
          <w:rFonts w:ascii="Times New Roman" w:hAnsi="Times New Roman" w:eastAsia="宋体"/>
          <w:b/>
          <w:sz w:val="21"/>
        </w:rPr>
        <w:t>本报告的一处克制</w:t>
      </w:r>
      <w:r>
        <w:rPr>
          <w:rFonts w:ascii="Times New Roman" w:hAnsi="Times New Roman" w:eastAsia="宋体"/>
          <w:sz w:val="21"/>
        </w:rPr>
        <w:t>：由 latent MoE 维 3584、每专家隐层 3072、896 专家推算的参数量与官方 2.8T 总量、104B 激活量无法自洽（推算的每专家参数量会使总量超出 2.8T，或使激活量超出 104B）。这说明 "Stable LatentMoE" 的参数共享方式未完全公开。因此模型</w:t>
      </w:r>
      <w:r>
        <w:rPr>
          <w:rFonts w:ascii="Times New Roman" w:hAnsi="Times New Roman" w:eastAsia="宋体"/>
          <w:b/>
          <w:sz w:val="21"/>
        </w:rPr>
        <w:t>只用 16/896 这两个官方数字计算专家覆盖率 φ(B)，不反推专家权重占比</w:t>
      </w:r>
      <w:r>
        <w:rPr>
          <w:rFonts w:ascii="Times New Roman" w:hAnsi="Times New Roman" w:eastAsia="宋体"/>
          <w:sz w:val="21"/>
        </w:rPr>
        <w:t>。</w:t>
      </w:r>
    </w:p>
    <w:p>
      <w:pPr>
        <w:pStyle w:val="Heading3"/>
        <w:keepNext/>
        <w:spacing w:before="200" w:after="120"/>
      </w:pPr>
      <w:r>
        <w:rPr>
          <w:rFonts w:ascii="Segoe UI" w:hAnsi="Segoe UI" w:eastAsia="微软雅黑"/>
          <w:b/>
          <w:color w:val="1F3B63"/>
          <w:sz w:val="25"/>
        </w:rPr>
        <w:t>S-02 发布时间线</w:t>
      </w:r>
    </w:p>
    <w:p>
      <w:pPr>
        <w:pStyle w:val="ListBullet"/>
        <w:spacing w:after="60" w:line="312" w:lineRule="auto"/>
        <w:ind w:left="425"/>
      </w:pPr>
      <w:r>
        <w:rPr>
          <w:rFonts w:ascii="Times New Roman" w:hAnsi="Times New Roman" w:eastAsia="宋体"/>
          <w:sz w:val="21"/>
        </w:rPr>
        <w:t>托管 API 上线：</w:t>
      </w:r>
      <w:r>
        <w:rPr>
          <w:rFonts w:ascii="Times New Roman" w:hAnsi="Times New Roman" w:eastAsia="宋体"/>
          <w:b/>
          <w:sz w:val="21"/>
        </w:rPr>
        <w:t>2026-07-16</w:t>
      </w:r>
    </w:p>
    <w:p>
      <w:pPr>
        <w:pStyle w:val="ListBullet"/>
        <w:spacing w:after="60" w:line="312" w:lineRule="auto"/>
        <w:ind w:left="425"/>
      </w:pPr>
      <w:r>
        <w:rPr>
          <w:rFonts w:ascii="Times New Roman" w:hAnsi="Times New Roman" w:eastAsia="宋体"/>
          <w:sz w:val="21"/>
        </w:rPr>
        <w:t>开放权重：</w:t>
      </w:r>
      <w:r>
        <w:rPr>
          <w:rFonts w:ascii="Times New Roman" w:hAnsi="Times New Roman" w:eastAsia="宋体"/>
          <w:b/>
          <w:sz w:val="21"/>
        </w:rPr>
        <w:t>2026-07-27</w:t>
      </w:r>
      <w:r>
        <w:rPr>
          <w:rFonts w:ascii="Times New Roman" w:hAnsi="Times New Roman" w:eastAsia="宋体"/>
          <w:sz w:val="21"/>
        </w:rPr>
        <w:t>（GitHub 仓库创建时间戳）</w:t>
      </w:r>
    </w:p>
    <w:p>
      <w:pPr>
        <w:spacing w:after="120" w:line="324" w:lineRule="auto"/>
      </w:pPr>
      <w:r>
        <w:rPr>
          <w:rFonts w:ascii="Times New Roman" w:hAnsi="Times New Roman" w:eastAsia="宋体"/>
          <w:b/>
          <w:sz w:val="21"/>
        </w:rPr>
        <w:t>关键性</w:t>
      </w:r>
      <w:r>
        <w:rPr>
          <w:rFonts w:ascii="Times New Roman" w:hAnsi="Times New Roman" w:eastAsia="宋体"/>
          <w:sz w:val="21"/>
        </w:rPr>
        <w:t xml:space="preserve">：截至本报告日，K3 开放权重仅 </w:t>
      </w:r>
      <w:r>
        <w:rPr>
          <w:rFonts w:ascii="Times New Roman" w:hAnsi="Times New Roman" w:eastAsia="宋体"/>
          <w:b/>
          <w:sz w:val="21"/>
        </w:rPr>
        <w:t>9 天</w:t>
      </w:r>
      <w:r>
        <w:rPr>
          <w:rFonts w:ascii="Times New Roman" w:hAnsi="Times New Roman" w:eastAsia="宋体"/>
          <w:sz w:val="21"/>
        </w:rPr>
        <w:t>。所有第三方实测都产生于 day-0 到 day-9 之间，推理引擎仍在快速迭代，吞吐数据时效性有限。这一点在结论中如实声明。</w:t>
      </w:r>
    </w:p>
    <w:p>
      <w:pPr>
        <w:pStyle w:val="Heading3"/>
        <w:keepNext/>
        <w:spacing w:before="200" w:after="120"/>
      </w:pPr>
      <w:r>
        <w:rPr>
          <w:rFonts w:ascii="Segoe UI" w:hAnsi="Segoe UI" w:eastAsia="微软雅黑"/>
          <w:b/>
          <w:color w:val="1F3B63"/>
          <w:sz w:val="25"/>
        </w:rPr>
        <w:t>S-03 Kimi K3 许可证</w:t>
      </w:r>
    </w:p>
    <w:p>
      <w:pPr>
        <w:spacing w:after="120" w:line="324" w:lineRule="auto"/>
      </w:pPr>
      <w:r>
        <w:rPr>
          <w:rFonts w:ascii="Times New Roman" w:hAnsi="Times New Roman" w:eastAsia="宋体"/>
          <w:sz w:val="21"/>
        </w:rPr>
        <w:t>来源：&lt;https://github.com/MoonshotAI/Kimi-K3/blob/main/LICENSE&gt;</w:t>
      </w:r>
    </w:p>
    <w:p>
      <w:pPr>
        <w:spacing w:after="120" w:line="324" w:lineRule="auto"/>
      </w:pPr>
      <w:r>
        <w:rPr>
          <w:rFonts w:ascii="Times New Roman" w:hAnsi="Times New Roman" w:eastAsia="宋体"/>
          <w:sz w:val="21"/>
        </w:rPr>
        <w:t>§2（MaaS 门槛）原文：</w:t>
      </w:r>
    </w:p>
    <w:p>
      <w:pPr>
        <w:spacing w:before="80" w:after="160"/>
        <w:ind w:left="454"/>
        <w:shd w:val="clear" w:color="auto" w:fill="F7F7F9"/>
      </w:pPr>
      <w:r>
        <w:rPr>
          <w:rFonts w:ascii="Times New Roman" w:hAnsi="Times New Roman" w:eastAsia="宋体"/>
          <w:i/>
          <w:sz w:val="20"/>
        </w:rPr>
        <w:t>If the Licensee or any of its affiliates operates a Model as a Service business, and the aggregate revenue of the Licensee and its affiliates exceeds 20 million US dollars (or the equivalent in other currencies) in total over any consecutive 12 months, the Licensee must enter into a separate agreement with Moonshot AI before using the Software or its derivative works for any commercial purpose.</w:t>
      </w:r>
    </w:p>
    <w:p>
      <w:pPr>
        <w:spacing w:after="120" w:line="324" w:lineRule="auto"/>
      </w:pPr>
      <w:r>
        <w:rPr>
          <w:rFonts w:ascii="Times New Roman" w:hAnsi="Times New Roman" w:eastAsia="宋体"/>
          <w:sz w:val="21"/>
        </w:rPr>
        <w:t>§2 对 MaaS 的定义原文：</w:t>
      </w:r>
    </w:p>
    <w:p>
      <w:pPr>
        <w:spacing w:before="80" w:after="160"/>
        <w:ind w:left="454"/>
        <w:shd w:val="clear" w:color="auto" w:fill="F7F7F9"/>
      </w:pPr>
      <w:r>
        <w:rPr>
          <w:rFonts w:ascii="Times New Roman" w:hAnsi="Times New Roman" w:eastAsia="宋体"/>
          <w:i/>
          <w:sz w:val="20"/>
        </w:rPr>
        <w:t>"Model as a Service" means giving a third party access to language model inference or fine-tuning (e.g., via API) in a manner that allows such third party to exercise meaningful control over the inputs, parameters, or training data. This does not include (a) end-user products with model capabilities solely embedded within specific features or harnesses, or (b) mere relaying of requests to models hosted by others.</w:t>
      </w:r>
    </w:p>
    <w:p>
      <w:pPr>
        <w:spacing w:after="120" w:line="324" w:lineRule="auto"/>
      </w:pPr>
      <w:r>
        <w:rPr>
          <w:rFonts w:ascii="Times New Roman" w:hAnsi="Times New Roman" w:eastAsia="宋体"/>
          <w:sz w:val="21"/>
        </w:rPr>
        <w:t>§3（署名门槛）：&gt;1 亿 MAU 或 &gt;2,000 万美元月收入时须在 UI 显著展示 "Kimi K3"。</w:t>
      </w:r>
    </w:p>
    <w:p>
      <w:pPr>
        <w:spacing w:after="120" w:line="324" w:lineRule="auto"/>
      </w:pPr>
      <w:r>
        <w:rPr>
          <w:rFonts w:ascii="Times New Roman" w:hAnsi="Times New Roman" w:eastAsia="宋体"/>
          <w:sz w:val="21"/>
        </w:rPr>
        <w:t>§4（豁免）：纯内部使用，或经 Moonshot 官方产品与"认证推理伙伴"使用，豁免 §2/§3。</w:t>
      </w:r>
    </w:p>
    <w:p>
      <w:pPr>
        <w:spacing w:after="120" w:line="324" w:lineRule="auto"/>
      </w:pPr>
      <w:r>
        <w:rPr>
          <w:rFonts w:ascii="Times New Roman" w:hAnsi="Times New Roman" w:eastAsia="宋体"/>
          <w:b/>
          <w:sz w:val="21"/>
        </w:rPr>
        <w:t>判定</w:t>
      </w:r>
      <w:r>
        <w:rPr>
          <w:rFonts w:ascii="Times New Roman" w:hAnsi="Times New Roman" w:eastAsia="宋体"/>
          <w:sz w:val="21"/>
        </w:rPr>
        <w:t>：本项目落入 §2 的 MaaS 定义，但触发另签协议需</w:t>
      </w:r>
      <w:r>
        <w:rPr>
          <w:rFonts w:ascii="Times New Roman" w:hAnsi="Times New Roman" w:eastAsia="宋体"/>
          <w:b/>
          <w:sz w:val="21"/>
        </w:rPr>
        <w:t>同时</w:t>
      </w:r>
      <w:r>
        <w:rPr>
          <w:rFonts w:ascii="Times New Roman" w:hAnsi="Times New Roman" w:eastAsia="宋体"/>
          <w:sz w:val="21"/>
        </w:rPr>
        <w:t>满足收入门槛。本项目远低于门槛，</w:t>
      </w:r>
      <w:r>
        <w:rPr>
          <w:rFonts w:ascii="Times New Roman" w:hAnsi="Times New Roman" w:eastAsia="宋体"/>
          <w:b/>
          <w:sz w:val="21"/>
        </w:rPr>
        <w:t>可免费商用与转售</w:t>
      </w:r>
      <w:r>
        <w:rPr>
          <w:rFonts w:ascii="Times New Roman" w:hAnsi="Times New Roman" w:eastAsia="宋体"/>
          <w:sz w:val="21"/>
        </w:rPr>
        <w:t>。注意分母是"被许可方及其关联方合计收入"，不是 K3 业务收入——须由用户自查。</w:t>
      </w:r>
    </w:p>
    <w:p>
      <w:pPr>
        <w:pStyle w:val="Heading3"/>
        <w:keepNext/>
        <w:spacing w:before="200" w:after="120"/>
      </w:pPr>
      <w:r>
        <w:rPr>
          <w:rFonts w:ascii="Segoe UI" w:hAnsi="Segoe UI" w:eastAsia="微软雅黑"/>
          <w:b/>
          <w:color w:val="1F3B63"/>
          <w:sz w:val="25"/>
        </w:rPr>
        <w:t>S-04 NVIDIA B300 规格</w:t>
      </w:r>
    </w:p>
    <w:p>
      <w:pPr>
        <w:spacing w:after="120" w:line="324" w:lineRule="auto"/>
      </w:pPr>
      <w:r>
        <w:rPr>
          <w:rFonts w:ascii="Times New Roman" w:hAnsi="Times New Roman" w:eastAsia="宋体"/>
          <w:sz w:val="21"/>
        </w:rPr>
        <w:t>来源：NVIDIA 官方技术博客 &lt;https://developer.nvidia.com/blog/inside-nvidia-blackwell-ultra-the-chip-powering-the-ai-factory-era/&gt;；实测可用显存来自 S-07。</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color="auto" w:fill="1F3B63"/>
          </w:tcPr>
          <w:p>
            <w:pPr>
              <w:spacing w:after="40" w:before="40"/>
              <w:jc w:val="center"/>
            </w:pPr>
            <w:r>
              <w:rPr>
                <w:rFonts w:ascii="Segoe UI" w:hAnsi="Segoe UI" w:eastAsia="微软雅黑"/>
                <w:b/>
                <w:color w:val="FFFFFF"/>
                <w:sz w:val="18"/>
              </w:rPr>
              <w:t>项</w:t>
            </w:r>
          </w:p>
        </w:tc>
        <w:tc>
          <w:tcPr>
            <w:tcW w:type="dxa" w:w="4592"/>
            <w:shd w:val="clear" w:color="auto" w:fill="1F3B63"/>
          </w:tcPr>
          <w:p>
            <w:pPr>
              <w:spacing w:after="40" w:before="40"/>
              <w:jc w:val="center"/>
            </w:pPr>
            <w:r>
              <w:rPr>
                <w:rFonts w:ascii="Segoe UI" w:hAnsi="Segoe UI" w:eastAsia="微软雅黑"/>
                <w:b/>
                <w:color w:val="FFFFFF"/>
                <w:sz w:val="18"/>
              </w:rPr>
              <w:t>值</w:t>
            </w:r>
          </w:p>
        </w:tc>
      </w:tr>
      <w:tr>
        <w:tc>
          <w:tcPr>
            <w:tcW w:type="dxa" w:w="4592"/>
          </w:tcPr>
          <w:p>
            <w:pPr>
              <w:spacing w:after="40" w:before="40"/>
              <w:jc w:val="left"/>
            </w:pPr>
            <w:r>
              <w:rPr>
                <w:rFonts w:ascii="Times New Roman" w:hAnsi="Times New Roman" w:eastAsia="宋体"/>
                <w:sz w:val="18"/>
              </w:rPr>
              <w:t>HBM 容量</w:t>
            </w:r>
          </w:p>
        </w:tc>
        <w:tc>
          <w:tcPr>
            <w:tcW w:type="dxa" w:w="4592"/>
          </w:tcPr>
          <w:p>
            <w:pPr>
              <w:spacing w:after="40" w:before="40"/>
              <w:jc w:val="left"/>
            </w:pPr>
            <w:r>
              <w:rPr>
                <w:rFonts w:ascii="Times New Roman" w:hAnsi="Times New Roman" w:eastAsia="宋体"/>
                <w:sz w:val="18"/>
              </w:rPr>
              <w:t>288 GB HBM3e（标称）</w:t>
            </w:r>
          </w:p>
        </w:tc>
      </w:tr>
      <w:tr>
        <w:tc>
          <w:tcPr>
            <w:tcW w:type="dxa" w:w="4592"/>
            <w:shd w:val="clear" w:color="auto" w:fill="F7F8FA"/>
          </w:tcPr>
          <w:p>
            <w:pPr>
              <w:spacing w:after="40" w:before="40"/>
              <w:jc w:val="left"/>
            </w:pPr>
            <w:r>
              <w:rPr>
                <w:rFonts w:ascii="Times New Roman" w:hAnsi="Times New Roman" w:eastAsia="宋体"/>
                <w:b/>
                <w:sz w:val="18"/>
              </w:rPr>
              <w:t>实测可见</w:t>
            </w:r>
          </w:p>
        </w:tc>
        <w:tc>
          <w:tcPr>
            <w:tcW w:type="dxa" w:w="4592"/>
            <w:shd w:val="clear" w:color="auto" w:fill="F7F8FA"/>
          </w:tcPr>
          <w:p>
            <w:pPr>
              <w:spacing w:after="40" w:before="40"/>
              <w:jc w:val="left"/>
            </w:pPr>
            <w:r>
              <w:rPr>
                <w:rFonts w:ascii="Times New Roman" w:hAnsi="Times New Roman" w:eastAsia="宋体"/>
                <w:b/>
                <w:sz w:val="18"/>
              </w:rPr>
              <w:t>267.69 GiB/卡</w:t>
            </w:r>
            <w:r>
              <w:rPr>
                <w:rFonts w:ascii="Times New Roman" w:hAnsi="Times New Roman" w:eastAsia="宋体"/>
                <w:sz w:val="18"/>
              </w:rPr>
              <w:t>（GPUStack 八卡实测）</w:t>
            </w:r>
          </w:p>
        </w:tc>
      </w:tr>
      <w:tr>
        <w:tc>
          <w:tcPr>
            <w:tcW w:type="dxa" w:w="4592"/>
          </w:tcPr>
          <w:p>
            <w:pPr>
              <w:spacing w:after="40" w:before="40"/>
              <w:jc w:val="left"/>
            </w:pPr>
            <w:r>
              <w:rPr>
                <w:rFonts w:ascii="Times New Roman" w:hAnsi="Times New Roman" w:eastAsia="宋体"/>
                <w:sz w:val="18"/>
              </w:rPr>
              <w:t>HBM 带宽</w:t>
            </w:r>
          </w:p>
        </w:tc>
        <w:tc>
          <w:tcPr>
            <w:tcW w:type="dxa" w:w="4592"/>
          </w:tcPr>
          <w:p>
            <w:pPr>
              <w:spacing w:after="40" w:before="40"/>
              <w:jc w:val="left"/>
            </w:pPr>
            <w:r>
              <w:rPr>
                <w:rFonts w:ascii="Times New Roman" w:hAnsi="Times New Roman" w:eastAsia="宋体"/>
                <w:sz w:val="18"/>
              </w:rPr>
              <w:t>8 TB/s 每 GPU（八卡聚合 64 TB/s）</w:t>
            </w:r>
          </w:p>
        </w:tc>
      </w:tr>
      <w:tr>
        <w:tc>
          <w:tcPr>
            <w:tcW w:type="dxa" w:w="4592"/>
            <w:shd w:val="clear" w:color="auto" w:fill="F7F8FA"/>
          </w:tcPr>
          <w:p>
            <w:pPr>
              <w:spacing w:after="40" w:before="40"/>
              <w:jc w:val="left"/>
            </w:pPr>
            <w:r>
              <w:rPr>
                <w:rFonts w:ascii="Times New Roman" w:hAnsi="Times New Roman" w:eastAsia="宋体"/>
                <w:sz w:val="18"/>
              </w:rPr>
              <w:t>NVFP4 稠密算力</w:t>
            </w:r>
          </w:p>
        </w:tc>
        <w:tc>
          <w:tcPr>
            <w:tcW w:type="dxa" w:w="4592"/>
            <w:shd w:val="clear" w:color="auto" w:fill="F7F8FA"/>
          </w:tcPr>
          <w:p>
            <w:pPr>
              <w:spacing w:after="40" w:before="40"/>
              <w:jc w:val="left"/>
            </w:pPr>
            <w:r>
              <w:rPr>
                <w:rFonts w:ascii="Times New Roman" w:hAnsi="Times New Roman" w:eastAsia="宋体"/>
                <w:sz w:val="18"/>
              </w:rPr>
              <w:t>15 PFLOPS/卡（八卡 120 PFLOPS）</w:t>
            </w:r>
          </w:p>
        </w:tc>
      </w:tr>
      <w:tr>
        <w:tc>
          <w:tcPr>
            <w:tcW w:type="dxa" w:w="4592"/>
          </w:tcPr>
          <w:p>
            <w:pPr>
              <w:spacing w:after="40" w:before="40"/>
              <w:jc w:val="left"/>
            </w:pPr>
            <w:r>
              <w:rPr>
                <w:rFonts w:ascii="Times New Roman" w:hAnsi="Times New Roman" w:eastAsia="宋体"/>
                <w:sz w:val="18"/>
              </w:rPr>
              <w:t>最大功耗 TGP</w:t>
            </w:r>
          </w:p>
        </w:tc>
        <w:tc>
          <w:tcPr>
            <w:tcW w:type="dxa" w:w="4592"/>
          </w:tcPr>
          <w:p>
            <w:pPr>
              <w:spacing w:after="40" w:before="40"/>
              <w:jc w:val="left"/>
            </w:pPr>
            <w:r>
              <w:rPr>
                <w:rFonts w:ascii="Times New Roman" w:hAnsi="Times New Roman" w:eastAsia="宋体"/>
                <w:sz w:val="18"/>
              </w:rPr>
              <w:t>1,400 W</w:t>
            </w:r>
          </w:p>
        </w:tc>
      </w:tr>
    </w:tbl>
    <w:p>
      <w:pPr>
        <w:spacing w:after="80"/>
      </w:pPr>
    </w:p>
    <w:p>
      <w:pPr>
        <w:spacing w:after="120" w:line="324" w:lineRule="auto"/>
      </w:pPr>
      <w:r>
        <w:rPr>
          <w:rFonts w:ascii="Times New Roman" w:hAnsi="Times New Roman" w:eastAsia="宋体"/>
          <w:b/>
          <w:sz w:val="21"/>
        </w:rPr>
        <w:t>取用</w:t>
      </w:r>
      <w:r>
        <w:rPr>
          <w:rFonts w:ascii="Times New Roman" w:hAnsi="Times New Roman" w:eastAsia="宋体"/>
          <w:sz w:val="21"/>
        </w:rPr>
        <w:t>：单卡可用显存采用实测 267.69 GiB。用标称 288 GB 会高估约 7%。</w:t>
      </w:r>
    </w:p>
    <w:p>
      <w:pPr>
        <w:pStyle w:val="Heading3"/>
        <w:keepNext/>
        <w:spacing w:before="200" w:after="120"/>
      </w:pPr>
      <w:r>
        <w:rPr>
          <w:rFonts w:ascii="Segoe UI" w:hAnsi="Segoe UI" w:eastAsia="微软雅黑"/>
          <w:b/>
          <w:color w:val="1F3B63"/>
          <w:sz w:val="25"/>
        </w:rPr>
        <w:t>S-19 B300 整机功耗与液冷要求</w:t>
      </w:r>
    </w:p>
    <w:p>
      <w:pPr>
        <w:spacing w:after="120" w:line="324" w:lineRule="auto"/>
      </w:pPr>
      <w:r>
        <w:rPr>
          <w:rFonts w:ascii="Times New Roman" w:hAnsi="Times New Roman" w:eastAsia="宋体"/>
          <w:sz w:val="21"/>
        </w:rPr>
        <w:t>来源：NVIDIA DGX B300 用户手册 &lt;https://docs.nvidia.com/dgx/dgxb300-user-guide/introduction-to-dgxb300.html&gt;；GPU Smith &lt;https://gpusmith.com/hardware/gpus/nvidia-b300&gt;</w:t>
      </w:r>
    </w:p>
    <w:p>
      <w:pPr>
        <w:pStyle w:val="ListBullet"/>
        <w:spacing w:after="60" w:line="312" w:lineRule="auto"/>
        <w:ind w:left="425"/>
      </w:pPr>
      <w:r>
        <w:rPr>
          <w:rFonts w:ascii="Times New Roman" w:hAnsi="Times New Roman" w:eastAsia="宋体"/>
          <w:sz w:val="21"/>
        </w:rPr>
        <w:t xml:space="preserve">DGX B300 整机功耗 </w:t>
      </w:r>
      <w:r>
        <w:rPr>
          <w:rFonts w:ascii="Times New Roman" w:hAnsi="Times New Roman" w:eastAsia="宋体"/>
          <w:b/>
          <w:sz w:val="21"/>
        </w:rPr>
        <w:t>14.5 kW</w:t>
      </w:r>
      <w:r>
        <w:rPr>
          <w:rFonts w:ascii="Times New Roman" w:hAnsi="Times New Roman" w:eastAsia="宋体"/>
          <w:sz w:val="21"/>
        </w:rPr>
        <w:t>（含 CPU、DPU、存储），12 × 3.2 kW 电源</w:t>
      </w:r>
    </w:p>
    <w:p>
      <w:pPr>
        <w:pStyle w:val="ListBullet"/>
        <w:spacing w:after="60" w:line="312" w:lineRule="auto"/>
        <w:ind w:left="425"/>
      </w:pPr>
      <w:r>
        <w:rPr>
          <w:rFonts w:ascii="Times New Roman" w:hAnsi="Times New Roman" w:eastAsia="宋体"/>
          <w:sz w:val="21"/>
        </w:rPr>
        <w:t xml:space="preserve">8 卡基板功耗 </w:t>
      </w:r>
      <w:r>
        <w:rPr>
          <w:rFonts w:ascii="Times New Roman" w:hAnsi="Times New Roman" w:eastAsia="宋体"/>
          <w:b/>
          <w:sz w:val="21"/>
        </w:rPr>
        <w:t>8.8–11.2 kW</w:t>
      </w:r>
      <w:r>
        <w:rPr>
          <w:rFonts w:ascii="Times New Roman" w:hAnsi="Times New Roman" w:eastAsia="宋体"/>
          <w:sz w:val="21"/>
        </w:rPr>
        <w:t>（1,100 W 风冷档至 1,400 W 液冷档），不含 CPU 与网络</w:t>
      </w:r>
    </w:p>
    <w:p>
      <w:pPr>
        <w:pStyle w:val="ListBullet"/>
        <w:spacing w:after="60" w:line="312" w:lineRule="auto"/>
        <w:ind w:left="425"/>
      </w:pPr>
      <w:r>
        <w:rPr>
          <w:rFonts w:ascii="Times New Roman" w:hAnsi="Times New Roman" w:eastAsia="宋体"/>
          <w:b/>
          <w:sz w:val="21"/>
        </w:rPr>
        <w:t>B300 在所有部署路径下都要求直接液冷</w:t>
      </w:r>
    </w:p>
    <w:p>
      <w:pPr>
        <w:spacing w:after="120" w:line="324" w:lineRule="auto"/>
      </w:pPr>
      <w:r>
        <w:rPr>
          <w:rFonts w:ascii="Times New Roman" w:hAnsi="Times New Roman" w:eastAsia="宋体"/>
          <w:b/>
          <w:sz w:val="21"/>
        </w:rPr>
        <w:t>关键性</w:t>
      </w:r>
      <w:r>
        <w:rPr>
          <w:rFonts w:ascii="Times New Roman" w:hAnsi="Times New Roman" w:eastAsia="宋体"/>
          <w:sz w:val="21"/>
        </w:rPr>
        <w:t>：这条决定了选址时必须核查数据中心的液冷能力，也是柔佛水冷限制值得关注的原因。</w:t>
      </w:r>
    </w:p>
    <w:p>
      <w:pPr>
        <w:pStyle w:val="Heading3"/>
        <w:keepNext/>
        <w:spacing w:before="200" w:after="120"/>
      </w:pPr>
      <w:r>
        <w:rPr>
          <w:rFonts w:ascii="Segoe UI" w:hAnsi="Segoe UI" w:eastAsia="微软雅黑"/>
          <w:b/>
          <w:color w:val="1F3B63"/>
          <w:sz w:val="25"/>
        </w:rPr>
        <w:t>S-05 K3 在 8×B300 上的实测显存与完整冷启动</w:t>
      </w:r>
    </w:p>
    <w:p>
      <w:pPr>
        <w:spacing w:after="120" w:line="324" w:lineRule="auto"/>
      </w:pPr>
      <w:r>
        <w:rPr>
          <w:rFonts w:ascii="Times New Roman" w:hAnsi="Times New Roman" w:eastAsia="宋体"/>
          <w:sz w:val="21"/>
        </w:rPr>
        <w:t>来源：DevGENT《Kimi K3 on B300×8: MXFP4 Memory and Day-0 Paths》&lt;https://devgent.org/en/kimi-k3-on-b300-8-mxfp4-memory-and-day-0-paths-en/&gt;</w:t>
      </w:r>
    </w:p>
    <w:p>
      <w:pPr>
        <w:spacing w:before="80" w:after="160"/>
        <w:ind w:left="454"/>
        <w:shd w:val="clear" w:color="auto" w:fill="F7F7F9"/>
      </w:pPr>
      <w:r>
        <w:rPr>
          <w:rFonts w:ascii="Times New Roman" w:hAnsi="Times New Roman" w:eastAsia="宋体"/>
          <w:i/>
          <w:sz w:val="20"/>
        </w:rPr>
        <w:t>- Measured weights: ~195.86 GB/GPU, ~1.57TB total - Cold start: ~88.8 minutes total (~81.4 minutes load). Restarts are expensive - Steady-state per rank: ~248/275 GB used; Mamba/KDA state 17.13GB; MLA KV 1.70GB</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二、产能实测</w:t>
      </w:r>
    </w:p>
    <w:p>
      <w:pPr>
        <w:pStyle w:val="Heading3"/>
        <w:keepNext/>
        <w:spacing w:before="200" w:after="120"/>
      </w:pPr>
      <w:r>
        <w:rPr>
          <w:rFonts w:ascii="Segoe UI" w:hAnsi="Segoe UI" w:eastAsia="微软雅黑"/>
          <w:b/>
          <w:color w:val="1F3B63"/>
          <w:sz w:val="25"/>
        </w:rPr>
        <w:t>S-06 吞吐实测（一）：并发扫描</w:t>
      </w:r>
    </w:p>
    <w:p>
      <w:pPr>
        <w:spacing w:after="120" w:line="324" w:lineRule="auto"/>
      </w:pPr>
      <w:r>
        <w:rPr>
          <w:rFonts w:ascii="Times New Roman" w:hAnsi="Times New Roman" w:eastAsia="宋体"/>
          <w:sz w:val="21"/>
        </w:rPr>
        <w:t>来源：Openzeka 白皮书《Kimi K3 Inference Benchmark on DGX-B300》&lt;https://whitepapers.openzeka.com/papers/kimi-k3-dgx-b300-inference-benchmark/&gt;（2026 年 7 月）</w:t>
      </w:r>
    </w:p>
    <w:p>
      <w:pPr>
        <w:spacing w:after="120" w:line="324" w:lineRule="auto"/>
      </w:pPr>
      <w:r>
        <w:rPr>
          <w:rFonts w:ascii="Times New Roman" w:hAnsi="Times New Roman" w:eastAsia="宋体"/>
          <w:sz w:val="21"/>
        </w:rPr>
        <w:t>测试条件：DGX-B300（8×GPU）、TP8、KV Cache FP8、</w:t>
      </w:r>
      <w:r>
        <w:rPr>
          <w:rFonts w:ascii="Consolas" w:hAnsi="Consolas" w:eastAsia="Consolas"/>
          <w:sz w:val="20"/>
        </w:rPr>
        <w:t>--gpu-memory-utilization 0.95</w:t>
      </w:r>
      <w:r>
        <w:rPr>
          <w:rFonts w:ascii="Times New Roman" w:hAnsi="Times New Roman" w:eastAsia="宋体"/>
          <w:sz w:val="21"/>
        </w:rPr>
        <w:t>、</w:t>
      </w:r>
      <w:r>
        <w:rPr>
          <w:rFonts w:ascii="Consolas" w:hAnsi="Consolas" w:eastAsia="Consolas"/>
          <w:sz w:val="20"/>
        </w:rPr>
        <w:t>--max-model-len 1048576</w:t>
      </w:r>
      <w:r>
        <w:rPr>
          <w:rFonts w:ascii="Times New Roman" w:hAnsi="Times New Roman" w:eastAsia="宋体"/>
          <w:sz w:val="21"/>
        </w:rPr>
        <w:t>、启用前缀缓存。</w:t>
      </w:r>
    </w:p>
    <w:p>
      <w:pPr>
        <w:spacing w:after="120" w:line="324" w:lineRule="auto"/>
      </w:pPr>
      <w:r>
        <w:rPr>
          <w:rFonts w:ascii="Times New Roman" w:hAnsi="Times New Roman" w:eastAsia="宋体"/>
          <w:sz w:val="21"/>
        </w:rPr>
        <w:t>聚合输出吞吐（tok/s）：</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c>
          <w:tcPr>
            <w:tcW w:type="dxa" w:w="1837"/>
            <w:shd w:val="clear" w:color="auto" w:fill="1F3B63"/>
          </w:tcPr>
          <w:p>
            <w:pPr>
              <w:spacing w:after="40" w:before="40"/>
              <w:jc w:val="center"/>
            </w:pPr>
            <w:r>
              <w:rPr>
                <w:rFonts w:ascii="Segoe UI" w:hAnsi="Segoe UI" w:eastAsia="微软雅黑"/>
                <w:b/>
                <w:color w:val="FFFFFF"/>
                <w:sz w:val="18"/>
              </w:rPr>
              <w:t>并发 c</w:t>
            </w:r>
          </w:p>
        </w:tc>
        <w:tc>
          <w:tcPr>
            <w:tcW w:type="dxa" w:w="1837"/>
            <w:shd w:val="clear" w:color="auto" w:fill="1F3B63"/>
          </w:tcPr>
          <w:p>
            <w:pPr>
              <w:spacing w:after="40" w:before="40"/>
              <w:jc w:val="center"/>
            </w:pPr>
            <w:r>
              <w:rPr>
                <w:rFonts w:ascii="Segoe UI" w:hAnsi="Segoe UI" w:eastAsia="微软雅黑"/>
                <w:b/>
                <w:color w:val="FFFFFF"/>
                <w:sz w:val="18"/>
              </w:rPr>
              <w:t>vLLM 直出</w:t>
            </w:r>
          </w:p>
        </w:tc>
        <w:tc>
          <w:tcPr>
            <w:tcW w:type="dxa" w:w="1837"/>
            <w:shd w:val="clear" w:color="auto" w:fill="1F3B63"/>
          </w:tcPr>
          <w:p>
            <w:pPr>
              <w:spacing w:after="40" w:before="40"/>
              <w:jc w:val="center"/>
            </w:pPr>
            <w:r>
              <w:rPr>
                <w:rFonts w:ascii="Segoe UI" w:hAnsi="Segoe UI" w:eastAsia="微软雅黑"/>
                <w:b/>
                <w:color w:val="FFFFFF"/>
                <w:sz w:val="18"/>
              </w:rPr>
              <w:t>vLLM+投机</w:t>
            </w:r>
          </w:p>
        </w:tc>
        <w:tc>
          <w:tcPr>
            <w:tcW w:type="dxa" w:w="1837"/>
            <w:shd w:val="clear" w:color="auto" w:fill="1F3B63"/>
          </w:tcPr>
          <w:p>
            <w:pPr>
              <w:spacing w:after="40" w:before="40"/>
              <w:jc w:val="center"/>
            </w:pPr>
            <w:r>
              <w:rPr>
                <w:rFonts w:ascii="Segoe UI" w:hAnsi="Segoe UI" w:eastAsia="微软雅黑"/>
                <w:b/>
                <w:color w:val="FFFFFF"/>
                <w:sz w:val="18"/>
              </w:rPr>
              <w:t>SGLang 直出</w:t>
            </w:r>
          </w:p>
        </w:tc>
        <w:tc>
          <w:tcPr>
            <w:tcW w:type="dxa" w:w="1837"/>
            <w:shd w:val="clear" w:color="auto" w:fill="1F3B63"/>
          </w:tcPr>
          <w:p>
            <w:pPr>
              <w:spacing w:after="40" w:before="40"/>
              <w:jc w:val="center"/>
            </w:pPr>
            <w:r>
              <w:rPr>
                <w:rFonts w:ascii="Segoe UI" w:hAnsi="Segoe UI" w:eastAsia="微软雅黑"/>
                <w:b/>
                <w:color w:val="FFFFFF"/>
                <w:sz w:val="18"/>
              </w:rPr>
              <w:t>SGLang+投机</w:t>
            </w:r>
          </w:p>
        </w:tc>
      </w:tr>
      <w:tr>
        <w:tc>
          <w:tcPr>
            <w:tcW w:type="dxa" w:w="1837"/>
          </w:tcPr>
          <w:p>
            <w:pPr>
              <w:spacing w:after="40" w:before="40"/>
              <w:jc w:val="left"/>
            </w:pPr>
            <w:r>
              <w:rPr>
                <w:rFonts w:ascii="Times New Roman" w:hAnsi="Times New Roman" w:eastAsia="宋体"/>
                <w:sz w:val="18"/>
              </w:rPr>
              <w:t>1</w:t>
            </w:r>
          </w:p>
        </w:tc>
        <w:tc>
          <w:tcPr>
            <w:tcW w:type="dxa" w:w="1837"/>
          </w:tcPr>
          <w:p>
            <w:pPr>
              <w:spacing w:after="40" w:before="40"/>
              <w:jc w:val="left"/>
            </w:pPr>
            <w:r>
              <w:rPr>
                <w:rFonts w:ascii="Times New Roman" w:hAnsi="Times New Roman" w:eastAsia="宋体"/>
                <w:sz w:val="18"/>
              </w:rPr>
              <w:t>101</w:t>
            </w:r>
          </w:p>
        </w:tc>
        <w:tc>
          <w:tcPr>
            <w:tcW w:type="dxa" w:w="1837"/>
          </w:tcPr>
          <w:p>
            <w:pPr>
              <w:spacing w:after="40" w:before="40"/>
              <w:jc w:val="left"/>
            </w:pPr>
            <w:r>
              <w:rPr>
                <w:rFonts w:ascii="Times New Roman" w:hAnsi="Times New Roman" w:eastAsia="宋体"/>
                <w:sz w:val="18"/>
              </w:rPr>
              <w:t>188</w:t>
            </w:r>
          </w:p>
        </w:tc>
        <w:tc>
          <w:tcPr>
            <w:tcW w:type="dxa" w:w="1837"/>
          </w:tcPr>
          <w:p>
            <w:pPr>
              <w:spacing w:after="40" w:before="40"/>
              <w:jc w:val="left"/>
            </w:pPr>
            <w:r>
              <w:rPr>
                <w:rFonts w:ascii="Times New Roman" w:hAnsi="Times New Roman" w:eastAsia="宋体"/>
                <w:sz w:val="18"/>
              </w:rPr>
              <w:t>83</w:t>
            </w:r>
          </w:p>
        </w:tc>
        <w:tc>
          <w:tcPr>
            <w:tcW w:type="dxa" w:w="1837"/>
          </w:tcPr>
          <w:p>
            <w:pPr>
              <w:spacing w:after="40" w:before="40"/>
              <w:jc w:val="left"/>
            </w:pPr>
            <w:r>
              <w:rPr>
                <w:rFonts w:ascii="Times New Roman" w:hAnsi="Times New Roman" w:eastAsia="宋体"/>
                <w:sz w:val="18"/>
              </w:rPr>
              <w:t>130</w:t>
            </w:r>
          </w:p>
        </w:tc>
      </w:tr>
      <w:tr>
        <w:tc>
          <w:tcPr>
            <w:tcW w:type="dxa" w:w="1837"/>
            <w:shd w:val="clear" w:color="auto" w:fill="F7F8FA"/>
          </w:tcPr>
          <w:p>
            <w:pPr>
              <w:spacing w:after="40" w:before="40"/>
              <w:jc w:val="left"/>
            </w:pPr>
            <w:r>
              <w:rPr>
                <w:rFonts w:ascii="Times New Roman" w:hAnsi="Times New Roman" w:eastAsia="宋体"/>
                <w:sz w:val="18"/>
              </w:rPr>
              <w:t>4</w:t>
            </w:r>
          </w:p>
        </w:tc>
        <w:tc>
          <w:tcPr>
            <w:tcW w:type="dxa" w:w="1837"/>
            <w:shd w:val="clear" w:color="auto" w:fill="F7F8FA"/>
          </w:tcPr>
          <w:p>
            <w:pPr>
              <w:spacing w:after="40" w:before="40"/>
              <w:jc w:val="left"/>
            </w:pPr>
            <w:r>
              <w:rPr>
                <w:rFonts w:ascii="Times New Roman" w:hAnsi="Times New Roman" w:eastAsia="宋体"/>
                <w:sz w:val="18"/>
              </w:rPr>
              <w:t>293</w:t>
            </w:r>
          </w:p>
        </w:tc>
        <w:tc>
          <w:tcPr>
            <w:tcW w:type="dxa" w:w="1837"/>
            <w:shd w:val="clear" w:color="auto" w:fill="F7F8FA"/>
          </w:tcPr>
          <w:p>
            <w:pPr>
              <w:spacing w:after="40" w:before="40"/>
              <w:jc w:val="left"/>
            </w:pPr>
            <w:r>
              <w:rPr>
                <w:rFonts w:ascii="Times New Roman" w:hAnsi="Times New Roman" w:eastAsia="宋体"/>
                <w:sz w:val="18"/>
              </w:rPr>
              <w:t>398</w:t>
            </w:r>
          </w:p>
        </w:tc>
        <w:tc>
          <w:tcPr>
            <w:tcW w:type="dxa" w:w="1837"/>
            <w:shd w:val="clear" w:color="auto" w:fill="F7F8FA"/>
          </w:tcPr>
          <w:p>
            <w:pPr>
              <w:spacing w:after="40" w:before="40"/>
              <w:jc w:val="left"/>
            </w:pPr>
            <w:r>
              <w:rPr>
                <w:rFonts w:ascii="Times New Roman" w:hAnsi="Times New Roman" w:eastAsia="宋体"/>
                <w:sz w:val="18"/>
              </w:rPr>
              <w:t>237</w:t>
            </w:r>
          </w:p>
        </w:tc>
        <w:tc>
          <w:tcPr>
            <w:tcW w:type="dxa" w:w="1837"/>
            <w:shd w:val="clear" w:color="auto" w:fill="F7F8FA"/>
          </w:tcPr>
          <w:p>
            <w:pPr>
              <w:spacing w:after="40" w:before="40"/>
              <w:jc w:val="left"/>
            </w:pPr>
            <w:r>
              <w:rPr>
                <w:rFonts w:ascii="Times New Roman" w:hAnsi="Times New Roman" w:eastAsia="宋体"/>
                <w:sz w:val="18"/>
              </w:rPr>
              <w:t>228</w:t>
            </w:r>
          </w:p>
        </w:tc>
      </w:tr>
      <w:tr>
        <w:tc>
          <w:tcPr>
            <w:tcW w:type="dxa" w:w="1837"/>
          </w:tcPr>
          <w:p>
            <w:pPr>
              <w:spacing w:after="40" w:before="40"/>
              <w:jc w:val="left"/>
            </w:pPr>
            <w:r>
              <w:rPr>
                <w:rFonts w:ascii="Times New Roman" w:hAnsi="Times New Roman" w:eastAsia="宋体"/>
                <w:sz w:val="18"/>
              </w:rPr>
              <w:t>16</w:t>
            </w:r>
          </w:p>
        </w:tc>
        <w:tc>
          <w:tcPr>
            <w:tcW w:type="dxa" w:w="1837"/>
          </w:tcPr>
          <w:p>
            <w:pPr>
              <w:spacing w:after="40" w:before="40"/>
              <w:jc w:val="left"/>
            </w:pPr>
            <w:r>
              <w:rPr>
                <w:rFonts w:ascii="Times New Roman" w:hAnsi="Times New Roman" w:eastAsia="宋体"/>
                <w:sz w:val="18"/>
              </w:rPr>
              <w:t>703</w:t>
            </w:r>
          </w:p>
        </w:tc>
        <w:tc>
          <w:tcPr>
            <w:tcW w:type="dxa" w:w="1837"/>
          </w:tcPr>
          <w:p>
            <w:pPr>
              <w:spacing w:after="40" w:before="40"/>
              <w:jc w:val="left"/>
            </w:pPr>
            <w:r>
              <w:rPr>
                <w:rFonts w:ascii="Times New Roman" w:hAnsi="Times New Roman" w:eastAsia="宋体"/>
                <w:sz w:val="18"/>
              </w:rPr>
              <w:t>698</w:t>
            </w:r>
          </w:p>
        </w:tc>
        <w:tc>
          <w:tcPr>
            <w:tcW w:type="dxa" w:w="1837"/>
          </w:tcPr>
          <w:p>
            <w:pPr>
              <w:spacing w:after="40" w:before="40"/>
              <w:jc w:val="left"/>
            </w:pPr>
            <w:r>
              <w:rPr>
                <w:rFonts w:ascii="Times New Roman" w:hAnsi="Times New Roman" w:eastAsia="宋体"/>
                <w:sz w:val="18"/>
              </w:rPr>
              <w:t>697</w:t>
            </w:r>
          </w:p>
        </w:tc>
        <w:tc>
          <w:tcPr>
            <w:tcW w:type="dxa" w:w="1837"/>
          </w:tcPr>
          <w:p>
            <w:pPr>
              <w:spacing w:after="40" w:before="40"/>
              <w:jc w:val="left"/>
            </w:pPr>
            <w:r>
              <w:rPr>
                <w:rFonts w:ascii="Times New Roman" w:hAnsi="Times New Roman" w:eastAsia="宋体"/>
                <w:sz w:val="18"/>
              </w:rPr>
              <w:t>355</w:t>
            </w:r>
          </w:p>
        </w:tc>
      </w:tr>
      <w:tr>
        <w:tc>
          <w:tcPr>
            <w:tcW w:type="dxa" w:w="1837"/>
            <w:shd w:val="clear" w:color="auto" w:fill="F7F8FA"/>
          </w:tcPr>
          <w:p>
            <w:pPr>
              <w:spacing w:after="40" w:before="40"/>
              <w:jc w:val="left"/>
            </w:pPr>
            <w:r>
              <w:rPr>
                <w:rFonts w:ascii="Times New Roman" w:hAnsi="Times New Roman" w:eastAsia="宋体"/>
                <w:sz w:val="18"/>
              </w:rPr>
              <w:t>32</w:t>
            </w:r>
          </w:p>
        </w:tc>
        <w:tc>
          <w:tcPr>
            <w:tcW w:type="dxa" w:w="1837"/>
            <w:shd w:val="clear" w:color="auto" w:fill="F7F8FA"/>
          </w:tcPr>
          <w:p>
            <w:pPr>
              <w:spacing w:after="40" w:before="40"/>
              <w:jc w:val="left"/>
            </w:pPr>
            <w:r>
              <w:rPr>
                <w:rFonts w:ascii="Times New Roman" w:hAnsi="Times New Roman" w:eastAsia="宋体"/>
                <w:sz w:val="18"/>
              </w:rPr>
              <w:t>1126</w:t>
            </w:r>
          </w:p>
        </w:tc>
        <w:tc>
          <w:tcPr>
            <w:tcW w:type="dxa" w:w="1837"/>
            <w:shd w:val="clear" w:color="auto" w:fill="F7F8FA"/>
          </w:tcPr>
          <w:p>
            <w:pPr>
              <w:spacing w:after="40" w:before="40"/>
              <w:jc w:val="left"/>
            </w:pPr>
            <w:r>
              <w:rPr>
                <w:rFonts w:ascii="Times New Roman" w:hAnsi="Times New Roman" w:eastAsia="宋体"/>
                <w:sz w:val="18"/>
              </w:rPr>
              <w:t>740</w:t>
            </w:r>
          </w:p>
        </w:tc>
        <w:tc>
          <w:tcPr>
            <w:tcW w:type="dxa" w:w="1837"/>
            <w:shd w:val="clear" w:color="auto" w:fill="F7F8FA"/>
          </w:tcPr>
          <w:p>
            <w:pPr>
              <w:spacing w:after="40" w:before="40"/>
              <w:jc w:val="left"/>
            </w:pPr>
            <w:r>
              <w:rPr>
                <w:rFonts w:ascii="Times New Roman" w:hAnsi="Times New Roman" w:eastAsia="宋体"/>
                <w:sz w:val="18"/>
              </w:rPr>
              <w:t>1074</w:t>
            </w:r>
          </w:p>
        </w:tc>
        <w:tc>
          <w:tcPr>
            <w:tcW w:type="dxa" w:w="1837"/>
            <w:shd w:val="clear" w:color="auto" w:fill="F7F8FA"/>
          </w:tcPr>
          <w:p>
            <w:pPr>
              <w:spacing w:after="40" w:before="40"/>
              <w:jc w:val="left"/>
            </w:pPr>
            <w:r>
              <w:rPr>
                <w:rFonts w:ascii="Times New Roman" w:hAnsi="Times New Roman" w:eastAsia="宋体"/>
                <w:sz w:val="18"/>
              </w:rPr>
              <w:t>493</w:t>
            </w:r>
          </w:p>
        </w:tc>
      </w:tr>
      <w:tr>
        <w:tc>
          <w:tcPr>
            <w:tcW w:type="dxa" w:w="1837"/>
          </w:tcPr>
          <w:p>
            <w:pPr>
              <w:spacing w:after="40" w:before="40"/>
              <w:jc w:val="left"/>
            </w:pPr>
            <w:r>
              <w:rPr>
                <w:rFonts w:ascii="Times New Roman" w:hAnsi="Times New Roman" w:eastAsia="宋体"/>
                <w:sz w:val="18"/>
              </w:rPr>
              <w:t>64</w:t>
            </w:r>
          </w:p>
        </w:tc>
        <w:tc>
          <w:tcPr>
            <w:tcW w:type="dxa" w:w="1837"/>
          </w:tcPr>
          <w:p>
            <w:pPr>
              <w:spacing w:after="40" w:before="40"/>
              <w:jc w:val="left"/>
            </w:pPr>
            <w:r>
              <w:rPr>
                <w:rFonts w:ascii="Times New Roman" w:hAnsi="Times New Roman" w:eastAsia="宋体"/>
                <w:b/>
                <w:sz w:val="18"/>
              </w:rPr>
              <w:t>1759</w:t>
            </w:r>
          </w:p>
        </w:tc>
        <w:tc>
          <w:tcPr>
            <w:tcW w:type="dxa" w:w="1837"/>
          </w:tcPr>
          <w:p>
            <w:pPr>
              <w:spacing w:after="40" w:before="40"/>
              <w:jc w:val="left"/>
            </w:pPr>
            <w:r>
              <w:rPr>
                <w:rFonts w:ascii="Times New Roman" w:hAnsi="Times New Roman" w:eastAsia="宋体"/>
                <w:sz w:val="18"/>
              </w:rPr>
              <w:t>717</w:t>
            </w:r>
          </w:p>
        </w:tc>
        <w:tc>
          <w:tcPr>
            <w:tcW w:type="dxa" w:w="1837"/>
          </w:tcPr>
          <w:p>
            <w:pPr>
              <w:spacing w:after="40" w:before="40"/>
              <w:jc w:val="left"/>
            </w:pPr>
            <w:r>
              <w:rPr>
                <w:rFonts w:ascii="Times New Roman" w:hAnsi="Times New Roman" w:eastAsia="宋体"/>
                <w:b/>
                <w:sz w:val="18"/>
              </w:rPr>
              <w:t>1863</w:t>
            </w:r>
          </w:p>
        </w:tc>
        <w:tc>
          <w:tcPr>
            <w:tcW w:type="dxa" w:w="1837"/>
          </w:tcPr>
          <w:p>
            <w:pPr>
              <w:spacing w:after="40" w:before="40"/>
              <w:jc w:val="left"/>
            </w:pPr>
            <w:r>
              <w:rPr>
                <w:rFonts w:ascii="Times New Roman" w:hAnsi="Times New Roman" w:eastAsia="宋体"/>
                <w:sz w:val="18"/>
              </w:rPr>
              <w:t>931</w:t>
            </w:r>
          </w:p>
        </w:tc>
      </w:tr>
    </w:tbl>
    <w:p>
      <w:pPr>
        <w:spacing w:after="80"/>
      </w:pPr>
    </w:p>
    <w:p>
      <w:pPr>
        <w:spacing w:after="120" w:line="324" w:lineRule="auto"/>
      </w:pPr>
      <w:r>
        <w:rPr>
          <w:rFonts w:ascii="Times New Roman" w:hAnsi="Times New Roman" w:eastAsia="宋体"/>
          <w:sz w:val="21"/>
        </w:rPr>
        <w:t xml:space="preserve">c=64 时延迟：vLLM 直出 TTFT 均值 </w:t>
      </w:r>
      <w:r>
        <w:rPr>
          <w:rFonts w:ascii="Times New Roman" w:hAnsi="Times New Roman" w:eastAsia="宋体"/>
          <w:b/>
          <w:sz w:val="21"/>
        </w:rPr>
        <w:t>731.7 ms</w:t>
      </w:r>
      <w:r>
        <w:rPr>
          <w:rFonts w:ascii="Times New Roman" w:hAnsi="Times New Roman" w:eastAsia="宋体"/>
          <w:sz w:val="21"/>
        </w:rPr>
        <w:t xml:space="preserve">、P90 </w:t>
      </w:r>
      <w:r>
        <w:rPr>
          <w:rFonts w:ascii="Times New Roman" w:hAnsi="Times New Roman" w:eastAsia="宋体"/>
          <w:b/>
          <w:sz w:val="21"/>
        </w:rPr>
        <w:t>1107.0 ms</w:t>
      </w:r>
      <w:r>
        <w:rPr>
          <w:rFonts w:ascii="Times New Roman" w:hAnsi="Times New Roman" w:eastAsia="宋体"/>
          <w:sz w:val="21"/>
        </w:rPr>
        <w:t>、ITL 30.8 ms、单用户 27.5 tok/s。</w:t>
      </w:r>
    </w:p>
    <w:p>
      <w:pPr>
        <w:spacing w:after="120" w:line="324" w:lineRule="auto"/>
      </w:pPr>
      <w:r>
        <w:rPr>
          <w:rFonts w:ascii="Times New Roman" w:hAnsi="Times New Roman" w:eastAsia="宋体"/>
          <w:sz w:val="21"/>
        </w:rPr>
        <w:t>SLO 阈值原文：TTFT ≤ 1000 ms（Nielsen 的 1 秒"思维流"界限）、TPS ≥ 15 tok/s。</w:t>
      </w:r>
    </w:p>
    <w:p>
      <w:pPr>
        <w:spacing w:after="120" w:line="324" w:lineRule="auto"/>
      </w:pPr>
      <w:r>
        <w:rPr>
          <w:rFonts w:ascii="Times New Roman" w:hAnsi="Times New Roman" w:eastAsia="宋体"/>
          <w:b/>
          <w:sz w:val="21"/>
        </w:rPr>
        <w:t>取用</w:t>
      </w:r>
      <w:r>
        <w:rPr>
          <w:rFonts w:ascii="Times New Roman" w:hAnsi="Times New Roman" w:eastAsia="宋体"/>
          <w:sz w:val="21"/>
        </w:rPr>
        <w:t xml:space="preserve">：短上下文标定点取 vLLM 直出 c=64 的 </w:t>
      </w:r>
      <w:r>
        <w:rPr>
          <w:rFonts w:ascii="Times New Roman" w:hAnsi="Times New Roman" w:eastAsia="宋体"/>
          <w:b/>
          <w:sz w:val="21"/>
        </w:rPr>
        <w:t>1,759 tok/s</w:t>
      </w:r>
      <w:r>
        <w:rPr>
          <w:rFonts w:ascii="Times New Roman" w:hAnsi="Times New Roman" w:eastAsia="宋体"/>
          <w:sz w:val="21"/>
        </w:rPr>
        <w:t>（未取 SGLang 的 1,863，保守）。TTFT 均值与 P90 用于选址的 SLO 判断。</w:t>
      </w:r>
    </w:p>
    <w:p>
      <w:pPr>
        <w:spacing w:after="120" w:line="324" w:lineRule="auto"/>
      </w:pPr>
      <w:r>
        <w:rPr>
          <w:rFonts w:ascii="Times New Roman" w:hAnsi="Times New Roman" w:eastAsia="宋体"/>
          <w:b/>
          <w:sz w:val="21"/>
        </w:rPr>
        <w:t>投机解码的结论</w:t>
      </w:r>
      <w:r>
        <w:rPr>
          <w:rFonts w:ascii="Times New Roman" w:hAnsi="Times New Roman" w:eastAsia="宋体"/>
          <w:sz w:val="21"/>
        </w:rPr>
        <w:t>：break-even 约 c=16（vLLM）与 c=4（SGLang），高负载下为净损失。生产高负载应关闭。</w:t>
      </w:r>
    </w:p>
    <w:p>
      <w:pPr>
        <w:pStyle w:val="Heading3"/>
        <w:keepNext/>
        <w:spacing w:before="200" w:after="120"/>
      </w:pPr>
      <w:r>
        <w:rPr>
          <w:rFonts w:ascii="Segoe UI" w:hAnsi="Segoe UI" w:eastAsia="微软雅黑"/>
          <w:b/>
          <w:color w:val="1F3B63"/>
          <w:sz w:val="25"/>
        </w:rPr>
        <w:t>S-07 吞吐实测（二）：长上下文与显存分配</w:t>
      </w:r>
    </w:p>
    <w:p>
      <w:pPr>
        <w:spacing w:after="120" w:line="324" w:lineRule="auto"/>
      </w:pPr>
      <w:r>
        <w:rPr>
          <w:rFonts w:ascii="Times New Roman" w:hAnsi="Times New Roman" w:eastAsia="宋体"/>
          <w:sz w:val="21"/>
        </w:rPr>
        <w:t>来源：GPUStack《Day 0 Support for Kimi-K3: vLLM vs. SGLang Inference Benchmark on 8×B300 GPUs》&lt;https://dev.to/gpustack/gpustack-day-0-support-for-kimi-k3-vllm-vs-sglang-inference-benchmark-on-8xb300-gpus-2g0g&gt;</w:t>
      </w:r>
    </w:p>
    <w:p>
      <w:pPr>
        <w:spacing w:after="120" w:line="324" w:lineRule="auto"/>
      </w:pPr>
      <w:r>
        <w:rPr>
          <w:rFonts w:ascii="Times New Roman" w:hAnsi="Times New Roman" w:eastAsia="宋体"/>
          <w:sz w:val="21"/>
        </w:rPr>
        <w:t xml:space="preserve">测试条件：单节点 8×B300；每 GPU 可见显存 </w:t>
      </w:r>
      <w:r>
        <w:rPr>
          <w:rFonts w:ascii="Times New Roman" w:hAnsi="Times New Roman" w:eastAsia="宋体"/>
          <w:b/>
          <w:sz w:val="21"/>
        </w:rPr>
        <w:t>267.69 GiB</w:t>
      </w:r>
      <w:r>
        <w:rPr>
          <w:rFonts w:ascii="Times New Roman" w:hAnsi="Times New Roman" w:eastAsia="宋体"/>
          <w:sz w:val="21"/>
        </w:rPr>
        <w:t>；Kimi-K3 (MXFP4)；输入 64K/200K；输出 3K；并发 10；随机数据集。</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color="auto" w:fill="1F3B63"/>
          </w:tcPr>
          <w:p>
            <w:pPr>
              <w:spacing w:after="40" w:before="40"/>
              <w:jc w:val="center"/>
            </w:pPr>
            <w:r>
              <w:rPr>
                <w:rFonts w:ascii="Segoe UI" w:hAnsi="Segoe UI" w:eastAsia="微软雅黑"/>
                <w:b/>
                <w:color w:val="FFFFFF"/>
                <w:sz w:val="18"/>
              </w:rPr>
              <w:t>场景</w:t>
            </w:r>
          </w:p>
        </w:tc>
        <w:tc>
          <w:tcPr>
            <w:tcW w:type="dxa" w:w="3061"/>
            <w:shd w:val="clear" w:color="auto" w:fill="1F3B63"/>
          </w:tcPr>
          <w:p>
            <w:pPr>
              <w:spacing w:after="40" w:before="40"/>
              <w:jc w:val="center"/>
            </w:pPr>
            <w:r>
              <w:rPr>
                <w:rFonts w:ascii="Segoe UI" w:hAnsi="Segoe UI" w:eastAsia="微软雅黑"/>
                <w:b/>
                <w:color w:val="FFFFFF"/>
                <w:sz w:val="18"/>
              </w:rPr>
              <w:t>vLLM</w:t>
            </w:r>
          </w:p>
        </w:tc>
        <w:tc>
          <w:tcPr>
            <w:tcW w:type="dxa" w:w="3061"/>
            <w:shd w:val="clear" w:color="auto" w:fill="1F3B63"/>
          </w:tcPr>
          <w:p>
            <w:pPr>
              <w:spacing w:after="40" w:before="40"/>
              <w:jc w:val="center"/>
            </w:pPr>
            <w:r>
              <w:rPr>
                <w:rFonts w:ascii="Segoe UI" w:hAnsi="Segoe UI" w:eastAsia="微软雅黑"/>
                <w:b/>
                <w:color w:val="FFFFFF"/>
                <w:sz w:val="18"/>
              </w:rPr>
              <w:t>SGLang</w:t>
            </w:r>
          </w:p>
        </w:tc>
      </w:tr>
      <w:tr>
        <w:tc>
          <w:tcPr>
            <w:tcW w:type="dxa" w:w="3061"/>
          </w:tcPr>
          <w:p>
            <w:pPr>
              <w:spacing w:after="40" w:before="40"/>
              <w:jc w:val="left"/>
            </w:pPr>
            <w:r>
              <w:rPr>
                <w:rFonts w:ascii="Times New Roman" w:hAnsi="Times New Roman" w:eastAsia="宋体"/>
                <w:sz w:val="18"/>
              </w:rPr>
              <w:t>64K 稳态解码吞吐</w:t>
            </w:r>
          </w:p>
        </w:tc>
        <w:tc>
          <w:tcPr>
            <w:tcW w:type="dxa" w:w="3061"/>
          </w:tcPr>
          <w:p>
            <w:pPr>
              <w:spacing w:after="40" w:before="40"/>
              <w:jc w:val="left"/>
            </w:pPr>
            <w:r>
              <w:rPr>
                <w:rFonts w:ascii="Times New Roman" w:hAnsi="Times New Roman" w:eastAsia="宋体"/>
                <w:b/>
                <w:sz w:val="18"/>
              </w:rPr>
              <w:t>~501 tok/s</w:t>
            </w:r>
          </w:p>
        </w:tc>
        <w:tc>
          <w:tcPr>
            <w:tcW w:type="dxa" w:w="3061"/>
          </w:tcPr>
          <w:p>
            <w:pPr>
              <w:spacing w:after="40" w:before="40"/>
              <w:jc w:val="left"/>
            </w:pPr>
            <w:r>
              <w:rPr>
                <w:rFonts w:ascii="Times New Roman" w:hAnsi="Times New Roman" w:eastAsia="宋体"/>
                <w:sz w:val="18"/>
              </w:rPr>
              <w:t>~335 tok/s</w:t>
            </w:r>
          </w:p>
        </w:tc>
      </w:tr>
      <w:tr>
        <w:tc>
          <w:tcPr>
            <w:tcW w:type="dxa" w:w="3061"/>
            <w:shd w:val="clear" w:color="auto" w:fill="F7F8FA"/>
          </w:tcPr>
          <w:p>
            <w:pPr>
              <w:spacing w:after="40" w:before="40"/>
              <w:jc w:val="left"/>
            </w:pPr>
            <w:r>
              <w:rPr>
                <w:rFonts w:ascii="Times New Roman" w:hAnsi="Times New Roman" w:eastAsia="宋体"/>
                <w:sz w:val="18"/>
              </w:rPr>
              <w:t>200K 稳态解码吞吐</w:t>
            </w:r>
          </w:p>
        </w:tc>
        <w:tc>
          <w:tcPr>
            <w:tcW w:type="dxa" w:w="3061"/>
            <w:shd w:val="clear" w:color="auto" w:fill="F7F8FA"/>
          </w:tcPr>
          <w:p>
            <w:pPr>
              <w:spacing w:after="40" w:before="40"/>
              <w:jc w:val="left"/>
            </w:pPr>
            <w:r>
              <w:rPr>
                <w:rFonts w:ascii="Times New Roman" w:hAnsi="Times New Roman" w:eastAsia="宋体"/>
                <w:sz w:val="18"/>
              </w:rPr>
              <w:t>~163 tok/s</w:t>
            </w:r>
          </w:p>
        </w:tc>
        <w:tc>
          <w:tcPr>
            <w:tcW w:type="dxa" w:w="3061"/>
            <w:shd w:val="clear" w:color="auto" w:fill="F7F8FA"/>
          </w:tcPr>
          <w:p>
            <w:pPr>
              <w:spacing w:after="40" w:before="40"/>
              <w:jc w:val="left"/>
            </w:pPr>
            <w:r>
              <w:rPr>
                <w:rFonts w:ascii="Times New Roman" w:hAnsi="Times New Roman" w:eastAsia="宋体"/>
                <w:b/>
                <w:sz w:val="18"/>
              </w:rPr>
              <w:t>~268 tok/s</w:t>
            </w:r>
          </w:p>
        </w:tc>
      </w:tr>
      <w:tr>
        <w:tc>
          <w:tcPr>
            <w:tcW w:type="dxa" w:w="3061"/>
          </w:tcPr>
          <w:p>
            <w:pPr>
              <w:spacing w:after="40" w:before="40"/>
              <w:jc w:val="left"/>
            </w:pPr>
            <w:r>
              <w:rPr>
                <w:rFonts w:ascii="Times New Roman" w:hAnsi="Times New Roman" w:eastAsia="宋体"/>
                <w:sz w:val="18"/>
              </w:rPr>
              <w:t>64K 端到端耗时</w:t>
            </w:r>
          </w:p>
        </w:tc>
        <w:tc>
          <w:tcPr>
            <w:tcW w:type="dxa" w:w="3061"/>
          </w:tcPr>
          <w:p>
            <w:pPr>
              <w:spacing w:after="40" w:before="40"/>
              <w:jc w:val="left"/>
            </w:pPr>
            <w:r>
              <w:rPr>
                <w:rFonts w:ascii="Times New Roman" w:hAnsi="Times New Roman" w:eastAsia="宋体"/>
                <w:sz w:val="18"/>
              </w:rPr>
              <w:t>100.5 s</w:t>
            </w:r>
          </w:p>
        </w:tc>
        <w:tc>
          <w:tcPr>
            <w:tcW w:type="dxa" w:w="3061"/>
          </w:tcPr>
          <w:p>
            <w:pPr>
              <w:spacing w:after="40" w:before="40"/>
              <w:jc w:val="left"/>
            </w:pPr>
            <w:r>
              <w:rPr>
                <w:rFonts w:ascii="Times New Roman" w:hAnsi="Times New Roman" w:eastAsia="宋体"/>
                <w:sz w:val="18"/>
              </w:rPr>
              <w:t>150.8 s</w:t>
            </w:r>
          </w:p>
        </w:tc>
      </w:tr>
      <w:tr>
        <w:tc>
          <w:tcPr>
            <w:tcW w:type="dxa" w:w="3061"/>
            <w:shd w:val="clear" w:color="auto" w:fill="F7F8FA"/>
          </w:tcPr>
          <w:p>
            <w:pPr>
              <w:spacing w:after="40" w:before="40"/>
              <w:jc w:val="left"/>
            </w:pPr>
            <w:r>
              <w:rPr>
                <w:rFonts w:ascii="Times New Roman" w:hAnsi="Times New Roman" w:eastAsia="宋体"/>
                <w:sz w:val="18"/>
              </w:rPr>
              <w:t>200K 端到端耗时</w:t>
            </w:r>
          </w:p>
        </w:tc>
        <w:tc>
          <w:tcPr>
            <w:tcW w:type="dxa" w:w="3061"/>
            <w:shd w:val="clear" w:color="auto" w:fill="F7F8FA"/>
          </w:tcPr>
          <w:p>
            <w:pPr>
              <w:spacing w:after="40" w:before="40"/>
              <w:jc w:val="left"/>
            </w:pPr>
            <w:r>
              <w:rPr>
                <w:rFonts w:ascii="Times New Roman" w:hAnsi="Times New Roman" w:eastAsia="宋体"/>
                <w:sz w:val="18"/>
              </w:rPr>
              <w:t>295.2 s</w:t>
            </w:r>
          </w:p>
        </w:tc>
        <w:tc>
          <w:tcPr>
            <w:tcW w:type="dxa" w:w="3061"/>
            <w:shd w:val="clear" w:color="auto" w:fill="F7F8FA"/>
          </w:tcPr>
          <w:p>
            <w:pPr>
              <w:spacing w:after="40" w:before="40"/>
              <w:jc w:val="left"/>
            </w:pPr>
            <w:r>
              <w:rPr>
                <w:rFonts w:ascii="Times New Roman" w:hAnsi="Times New Roman" w:eastAsia="宋体"/>
                <w:sz w:val="18"/>
              </w:rPr>
              <w:t>225.3 s</w:t>
            </w:r>
          </w:p>
        </w:tc>
      </w:tr>
    </w:tbl>
    <w:p>
      <w:pPr>
        <w:spacing w:after="80"/>
      </w:pPr>
    </w:p>
    <w:p>
      <w:pPr>
        <w:spacing w:after="120" w:line="324" w:lineRule="auto"/>
      </w:pPr>
      <w:r>
        <w:rPr>
          <w:rFonts w:ascii="Times New Roman" w:hAnsi="Times New Roman" w:eastAsia="宋体"/>
          <w:sz w:val="21"/>
        </w:rPr>
        <w:t>vLLM 显存分配（每 GPU）：模型权重与非 torch 内存 197.72 GiB、峰值激活 12.82 GiB、CUDA Graph 5.13 GiB、</w:t>
      </w:r>
      <w:r>
        <w:rPr>
          <w:rFonts w:ascii="Times New Roman" w:hAnsi="Times New Roman" w:eastAsia="宋体"/>
          <w:b/>
          <w:sz w:val="21"/>
        </w:rPr>
        <w:t>KV Cache 43.76 GiB</w:t>
      </w:r>
      <w:r>
        <w:rPr>
          <w:rFonts w:ascii="Times New Roman" w:hAnsi="Times New Roman" w:eastAsia="宋体"/>
          <w:sz w:val="21"/>
        </w:rPr>
        <w:t>。</w:t>
      </w:r>
      <w:r>
        <w:rPr>
          <w:rFonts w:ascii="Times New Roman" w:hAnsi="Times New Roman" w:eastAsia="宋体"/>
          <w:b/>
          <w:sz w:val="21"/>
        </w:rPr>
        <w:t>KV 池容量 2,687,776 token</w:t>
      </w:r>
      <w:r>
        <w:rPr>
          <w:rFonts w:ascii="Times New Roman" w:hAnsi="Times New Roman" w:eastAsia="宋体"/>
          <w:sz w:val="21"/>
        </w:rPr>
        <w:t>。</w:t>
      </w:r>
    </w:p>
    <w:p>
      <w:pPr>
        <w:spacing w:after="120" w:line="324" w:lineRule="auto"/>
      </w:pPr>
      <w:r>
        <w:rPr>
          <w:rFonts w:ascii="Times New Roman" w:hAnsi="Times New Roman" w:eastAsia="宋体"/>
          <w:sz w:val="21"/>
        </w:rPr>
        <w:t xml:space="preserve">引擎日志自报稳态聚合 </w:t>
      </w:r>
      <w:r>
        <w:rPr>
          <w:rFonts w:ascii="Times New Roman" w:hAnsi="Times New Roman" w:eastAsia="宋体"/>
          <w:b/>
          <w:sz w:val="21"/>
        </w:rPr>
        <w:t>prefill 吞吐约 19K–23K tok/s</w:t>
      </w:r>
      <w:r>
        <w:rPr>
          <w:rFonts w:ascii="Times New Roman" w:hAnsi="Times New Roman" w:eastAsia="宋体"/>
          <w:sz w:val="21"/>
        </w:rPr>
        <w:t>。</w:t>
      </w:r>
    </w:p>
    <w:p>
      <w:pPr>
        <w:spacing w:after="120" w:line="324" w:lineRule="auto"/>
      </w:pPr>
      <w:r>
        <w:rPr>
          <w:rFonts w:ascii="Times New Roman" w:hAnsi="Times New Roman" w:eastAsia="宋体"/>
          <w:sz w:val="21"/>
        </w:rPr>
        <w:t>冷启动：权重加载 163.8 s、CUDA Graph 捕获 85–88 s、引擎初始化 409.61 s、</w:t>
      </w:r>
      <w:r>
        <w:rPr>
          <w:rFonts w:ascii="Times New Roman" w:hAnsi="Times New Roman" w:eastAsia="宋体"/>
          <w:b/>
          <w:sz w:val="21"/>
        </w:rPr>
        <w:t>容器到就绪约 10.6 分钟</w:t>
      </w:r>
      <w:r>
        <w:rPr>
          <w:rFonts w:ascii="Times New Roman" w:hAnsi="Times New Roman" w:eastAsia="宋体"/>
          <w:sz w:val="21"/>
        </w:rPr>
        <w:t>。</w:t>
      </w:r>
    </w:p>
    <w:p>
      <w:pPr>
        <w:spacing w:after="120" w:line="324" w:lineRule="auto"/>
      </w:pPr>
      <w:r>
        <w:rPr>
          <w:rFonts w:ascii="Times New Roman" w:hAnsi="Times New Roman" w:eastAsia="宋体"/>
          <w:b/>
          <w:sz w:val="21"/>
        </w:rPr>
        <w:t>预填速率的反解</w:t>
      </w:r>
      <w:r>
        <w:rPr>
          <w:rFonts w:ascii="Times New Roman" w:hAnsi="Times New Roman" w:eastAsia="宋体"/>
          <w:sz w:val="21"/>
        </w:rPr>
        <w:t>（本报告的推导，非原文数字）：</w:t>
      </w:r>
    </w:p>
    <w:p>
      <w:pPr>
        <w:pStyle w:val="ListBullet"/>
        <w:spacing w:after="60" w:line="312" w:lineRule="auto"/>
        <w:ind w:left="425"/>
      </w:pPr>
      <w:r>
        <w:rPr>
          <w:rFonts w:ascii="Times New Roman" w:hAnsi="Times New Roman" w:eastAsia="宋体"/>
          <w:sz w:val="21"/>
        </w:rPr>
        <w:t xml:space="preserve">64K 组：10 × 65,536 输入；e2e 100.5 s；解码 10×3000 @501 tok/s = 59.88 s ⇒ 预填 40.62 s ⇒ </w:t>
      </w:r>
      <w:r>
        <w:rPr>
          <w:rFonts w:ascii="Times New Roman" w:hAnsi="Times New Roman" w:eastAsia="宋体"/>
          <w:b/>
          <w:sz w:val="21"/>
        </w:rPr>
        <w:t>16,134 tok/s</w:t>
      </w:r>
    </w:p>
    <w:p>
      <w:pPr>
        <w:pStyle w:val="ListBullet"/>
        <w:spacing w:after="60" w:line="312" w:lineRule="auto"/>
        <w:ind w:left="425"/>
      </w:pPr>
      <w:r>
        <w:rPr>
          <w:rFonts w:ascii="Times New Roman" w:hAnsi="Times New Roman" w:eastAsia="宋体"/>
          <w:sz w:val="21"/>
        </w:rPr>
        <w:t xml:space="preserve">200K 组：10 × 204,800 输入；e2e 295.2 s；解码 10×3000 @163 tok/s = 184.05 s ⇒ 预填 111.15 s ⇒ </w:t>
      </w:r>
      <w:r>
        <w:rPr>
          <w:rFonts w:ascii="Times New Roman" w:hAnsi="Times New Roman" w:eastAsia="宋体"/>
          <w:b/>
          <w:sz w:val="21"/>
        </w:rPr>
        <w:t>18,425 tok/s</w:t>
      </w:r>
    </w:p>
    <w:p>
      <w:pPr>
        <w:spacing w:after="120" w:line="324" w:lineRule="auto"/>
      </w:pPr>
      <w:r>
        <w:rPr>
          <w:rFonts w:ascii="Times New Roman" w:hAnsi="Times New Roman" w:eastAsia="宋体"/>
          <w:sz w:val="21"/>
        </w:rPr>
        <w:t>两次独立反解落在同一量级，取较低者，保守。该速率对应 MFU 仅 2.80%，偏低但符合 MoE 长上下文预填特征。</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三、售价与市场结构</w:t>
      </w:r>
    </w:p>
    <w:p>
      <w:pPr>
        <w:pStyle w:val="Heading3"/>
        <w:keepNext/>
        <w:spacing w:before="200" w:after="120"/>
      </w:pPr>
      <w:r>
        <w:rPr>
          <w:rFonts w:ascii="Segoe UI" w:hAnsi="Segoe UI" w:eastAsia="微软雅黑"/>
          <w:b/>
          <w:color w:val="1F3B63"/>
          <w:sz w:val="25"/>
        </w:rPr>
        <w:t>S-08 K3 官方与市场售价</w:t>
      </w:r>
    </w:p>
    <w:p>
      <w:pPr>
        <w:spacing w:after="120" w:line="324" w:lineRule="auto"/>
      </w:pPr>
      <w:r>
        <w:rPr>
          <w:rFonts w:ascii="Times New Roman" w:hAnsi="Times New Roman" w:eastAsia="宋体"/>
          <w:sz w:val="21"/>
        </w:rPr>
        <w:t xml:space="preserve">官方（经多方交叉验证）：输入 </w:t>
      </w:r>
      <w:r>
        <w:rPr>
          <w:rFonts w:ascii="Times New Roman" w:hAnsi="Times New Roman" w:eastAsia="宋体"/>
          <w:b/>
          <w:sz w:val="21"/>
        </w:rPr>
        <w:t>$3.00/M</w:t>
      </w:r>
      <w:r>
        <w:rPr>
          <w:rFonts w:ascii="Times New Roman" w:hAnsi="Times New Roman" w:eastAsia="宋体"/>
          <w:sz w:val="21"/>
        </w:rPr>
        <w:t xml:space="preserve">、缓存输入 </w:t>
      </w:r>
      <w:r>
        <w:rPr>
          <w:rFonts w:ascii="Times New Roman" w:hAnsi="Times New Roman" w:eastAsia="宋体"/>
          <w:b/>
          <w:sz w:val="21"/>
        </w:rPr>
        <w:t>$0.30/M</w:t>
      </w:r>
      <w:r>
        <w:rPr>
          <w:rFonts w:ascii="Times New Roman" w:hAnsi="Times New Roman" w:eastAsia="宋体"/>
          <w:sz w:val="21"/>
        </w:rPr>
        <w:t xml:space="preserve">、输出 </w:t>
      </w:r>
      <w:r>
        <w:rPr>
          <w:rFonts w:ascii="Times New Roman" w:hAnsi="Times New Roman" w:eastAsia="宋体"/>
          <w:b/>
          <w:sz w:val="21"/>
        </w:rPr>
        <w:t>$15.00/M</w:t>
      </w:r>
      <w:r>
        <w:rPr>
          <w:rFonts w:ascii="Times New Roman" w:hAnsi="Times New Roman" w:eastAsia="宋体"/>
          <w:sz w:val="21"/>
        </w:rPr>
        <w:t>，全上下文区间统一价。</w:t>
      </w:r>
    </w:p>
    <w:p>
      <w:pPr>
        <w:spacing w:after="120" w:line="324" w:lineRule="auto"/>
      </w:pPr>
      <w:r>
        <w:rPr>
          <w:rFonts w:ascii="Times New Roman" w:hAnsi="Times New Roman" w:eastAsia="宋体"/>
          <w:sz w:val="21"/>
        </w:rPr>
        <w:t xml:space="preserve">OpenRouter 模型页 &lt;https://openrouter.ai/moonshotai/kimi-k3&gt; 快照含 </w:t>
      </w:r>
      <w:r>
        <w:rPr>
          <w:rFonts w:ascii="Times New Roman" w:hAnsi="Times New Roman" w:eastAsia="宋体"/>
          <w:b/>
          <w:sz w:val="21"/>
        </w:rPr>
        <w:t>11 家 provider</w:t>
      </w:r>
      <w:r>
        <w:rPr>
          <w:rFonts w:ascii="Times New Roman" w:hAnsi="Times New Roman" w:eastAsia="宋体"/>
          <w:sz w:val="21"/>
        </w:rPr>
        <w:t>，其中 8 家为 $3.00/$15.00，Morph 为 $2.90/$14.00，三家 Fast 档为 $4.50–6.00/$22.50。</w:t>
      </w:r>
    </w:p>
    <w:p>
      <w:pPr>
        <w:spacing w:after="120" w:line="324" w:lineRule="auto"/>
      </w:pPr>
      <w:r>
        <w:rPr>
          <w:rFonts w:ascii="Times New Roman" w:hAnsi="Times New Roman" w:eastAsia="宋体"/>
          <w:sz w:val="21"/>
        </w:rPr>
        <w:t xml:space="preserve">另有 TeamoRouter 为 </w:t>
      </w:r>
      <w:r>
        <w:rPr>
          <w:rFonts w:ascii="Times New Roman" w:hAnsi="Times New Roman" w:eastAsia="宋体"/>
          <w:b/>
          <w:sz w:val="21"/>
        </w:rPr>
        <w:t>$1.50/$7.50</w:t>
      </w:r>
      <w:r>
        <w:rPr>
          <w:rFonts w:ascii="Times New Roman" w:hAnsi="Times New Roman" w:eastAsia="宋体"/>
          <w:sz w:val="21"/>
        </w:rPr>
        <w:t>（官方价 50%），是唯一低于官方价者。</w:t>
      </w:r>
    </w:p>
    <w:p>
      <w:pPr>
        <w:spacing w:after="120" w:line="324" w:lineRule="auto"/>
      </w:pPr>
      <w:r>
        <w:rPr>
          <w:rFonts w:ascii="Times New Roman" w:hAnsi="Times New Roman" w:eastAsia="宋体"/>
          <w:b/>
          <w:sz w:val="21"/>
        </w:rPr>
        <w:t>关键性</w:t>
      </w:r>
      <w:r>
        <w:rPr>
          <w:rFonts w:ascii="Times New Roman" w:hAnsi="Times New Roman" w:eastAsia="宋体"/>
          <w:sz w:val="21"/>
        </w:rPr>
        <w:t>：开放权重仅 9 天已有 11 家 provider 以几乎相同价格供应同一模型。典型同质化商品市场，新进入者是纯粹的价格接受者。</w:t>
      </w:r>
    </w:p>
    <w:p>
      <w:pPr>
        <w:pStyle w:val="Heading3"/>
        <w:keepNext/>
        <w:spacing w:before="200" w:after="120"/>
      </w:pPr>
      <w:r>
        <w:rPr>
          <w:rFonts w:ascii="Segoe UI" w:hAnsi="Segoe UI" w:eastAsia="微软雅黑"/>
          <w:b/>
          <w:color w:val="1F3B63"/>
          <w:sz w:val="25"/>
        </w:rPr>
        <w:t>S-21 行业输出价地板参照</w:t>
      </w:r>
    </w:p>
    <w:p>
      <w:pPr>
        <w:spacing w:after="120" w:line="324" w:lineRule="auto"/>
      </w:pPr>
      <w:r>
        <w:rPr>
          <w:rFonts w:ascii="Times New Roman" w:hAnsi="Times New Roman" w:eastAsia="宋体"/>
          <w:sz w:val="21"/>
        </w:rPr>
        <w:t>来源：Forkast &lt;https://forkast.news/deepseek-disrupts-ai-pricing-with-0-28-agentic-output-floor/&gt;</w:t>
      </w:r>
    </w:p>
    <w:p>
      <w:pPr>
        <w:spacing w:after="120" w:line="324" w:lineRule="auto"/>
      </w:pPr>
      <w:r>
        <w:rPr>
          <w:rFonts w:ascii="Times New Roman" w:hAnsi="Times New Roman" w:eastAsia="宋体"/>
          <w:sz w:val="21"/>
        </w:rPr>
        <w:t xml:space="preserve">DeepSeek V4-Flash（2026-07-31 发布）定价：输入 $0.14/M、输出 </w:t>
      </w:r>
      <w:r>
        <w:rPr>
          <w:rFonts w:ascii="Times New Roman" w:hAnsi="Times New Roman" w:eastAsia="宋体"/>
          <w:b/>
          <w:sz w:val="21"/>
        </w:rPr>
        <w:t>$0.28/M</w:t>
      </w:r>
      <w:r>
        <w:rPr>
          <w:rFonts w:ascii="Times New Roman" w:hAnsi="Times New Roman" w:eastAsia="宋体"/>
          <w:sz w:val="21"/>
        </w:rPr>
        <w:t>。</w:t>
      </w:r>
    </w:p>
    <w:p>
      <w:pPr>
        <w:spacing w:after="120" w:line="324" w:lineRule="auto"/>
      </w:pPr>
      <w:r>
        <w:rPr>
          <w:rFonts w:ascii="Times New Roman" w:hAnsi="Times New Roman" w:eastAsia="宋体"/>
          <w:b/>
          <w:sz w:val="21"/>
        </w:rPr>
        <w:t>用途说明</w:t>
      </w:r>
      <w:r>
        <w:rPr>
          <w:rFonts w:ascii="Times New Roman" w:hAnsi="Times New Roman" w:eastAsia="宋体"/>
          <w:sz w:val="21"/>
        </w:rPr>
        <w:t>：DeepSeek V4-Flash 不是 K3 的同类替代（能力档位不同），此处仅作为"开放权重模型如何重置行业价格地板"的方向性参照，</w:t>
      </w:r>
      <w:r>
        <w:rPr>
          <w:rFonts w:ascii="Times New Roman" w:hAnsi="Times New Roman" w:eastAsia="宋体"/>
          <w:b/>
          <w:sz w:val="21"/>
        </w:rPr>
        <w:t>不作为 K3 价格预测的依据</w:t>
      </w:r>
      <w:r>
        <w:rPr>
          <w:rFonts w:ascii="Times New Roman" w:hAnsi="Times New Roman" w:eastAsia="宋体"/>
          <w:sz w:val="21"/>
        </w:rPr>
        <w:t>。</w:t>
      </w:r>
    </w:p>
    <w:p>
      <w:pPr>
        <w:pStyle w:val="Heading3"/>
        <w:keepNext/>
        <w:spacing w:before="200" w:after="120"/>
      </w:pPr>
      <w:r>
        <w:rPr>
          <w:rFonts w:ascii="Segoe UI" w:hAnsi="Segoe UI" w:eastAsia="微软雅黑"/>
          <w:b/>
          <w:color w:val="1F3B63"/>
          <w:sz w:val="25"/>
        </w:rPr>
        <w:t>S-09 缓存命中率与有效输入价</w:t>
      </w:r>
    </w:p>
    <w:p>
      <w:pPr>
        <w:spacing w:after="120" w:line="324" w:lineRule="auto"/>
      </w:pPr>
      <w:r>
        <w:rPr>
          <w:rFonts w:ascii="Times New Roman" w:hAnsi="Times New Roman" w:eastAsia="宋体"/>
          <w:sz w:val="21"/>
        </w:rPr>
        <w:t>来源：OpenRouter 同页 "Effective Pricing"（近 1 日实测）</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val="clear" w:color="auto" w:fill="1F3B63"/>
          </w:tcPr>
          <w:p>
            <w:pPr>
              <w:spacing w:after="40" w:before="40"/>
              <w:jc w:val="center"/>
            </w:pPr>
            <w:r>
              <w:rPr>
                <w:rFonts w:ascii="Segoe UI" w:hAnsi="Segoe UI" w:eastAsia="微软雅黑"/>
                <w:b/>
                <w:color w:val="FFFFFF"/>
                <w:sz w:val="18"/>
              </w:rPr>
              <w:t>Provider</w:t>
            </w:r>
          </w:p>
        </w:tc>
        <w:tc>
          <w:tcPr>
            <w:tcW w:type="dxa" w:w="2296"/>
            <w:shd w:val="clear" w:color="auto" w:fill="1F3B63"/>
          </w:tcPr>
          <w:p>
            <w:pPr>
              <w:spacing w:after="40" w:before="40"/>
              <w:jc w:val="center"/>
            </w:pPr>
            <w:r>
              <w:rPr>
                <w:rFonts w:ascii="Segoe UI" w:hAnsi="Segoe UI" w:eastAsia="微软雅黑"/>
                <w:b/>
                <w:color w:val="FFFFFF"/>
                <w:sz w:val="18"/>
              </w:rPr>
              <w:t>有效输入价 $/M</w:t>
            </w:r>
          </w:p>
        </w:tc>
        <w:tc>
          <w:tcPr>
            <w:tcW w:type="dxa" w:w="2296"/>
            <w:shd w:val="clear" w:color="auto" w:fill="1F3B63"/>
          </w:tcPr>
          <w:p>
            <w:pPr>
              <w:spacing w:after="40" w:before="40"/>
              <w:jc w:val="center"/>
            </w:pPr>
            <w:r>
              <w:rPr>
                <w:rFonts w:ascii="Segoe UI" w:hAnsi="Segoe UI" w:eastAsia="微软雅黑"/>
                <w:b/>
                <w:color w:val="FFFFFF"/>
                <w:sz w:val="18"/>
              </w:rPr>
              <w:t>缓存命中率</w:t>
            </w:r>
          </w:p>
        </w:tc>
        <w:tc>
          <w:tcPr>
            <w:tcW w:type="dxa" w:w="2296"/>
            <w:shd w:val="clear" w:color="auto" w:fill="1F3B63"/>
          </w:tcPr>
          <w:p>
            <w:pPr>
              <w:spacing w:after="40" w:before="40"/>
              <w:jc w:val="center"/>
            </w:pPr>
            <w:r>
              <w:rPr>
                <w:rFonts w:ascii="Segoe UI" w:hAnsi="Segoe UI" w:eastAsia="微软雅黑"/>
                <w:b/>
                <w:color w:val="FFFFFF"/>
                <w:sz w:val="18"/>
              </w:rPr>
              <w:t>token 份额</w:t>
            </w:r>
          </w:p>
        </w:tc>
      </w:tr>
      <w:tr>
        <w:tc>
          <w:tcPr>
            <w:tcW w:type="dxa" w:w="2296"/>
          </w:tcPr>
          <w:p>
            <w:pPr>
              <w:spacing w:after="40" w:before="40"/>
              <w:jc w:val="left"/>
            </w:pPr>
            <w:r>
              <w:rPr>
                <w:rFonts w:ascii="Times New Roman" w:hAnsi="Times New Roman" w:eastAsia="宋体"/>
                <w:sz w:val="18"/>
              </w:rPr>
              <w:t>Moonshot AI</w:t>
            </w:r>
          </w:p>
        </w:tc>
        <w:tc>
          <w:tcPr>
            <w:tcW w:type="dxa" w:w="2296"/>
          </w:tcPr>
          <w:p>
            <w:pPr>
              <w:spacing w:after="40" w:before="40"/>
              <w:jc w:val="left"/>
            </w:pPr>
            <w:r>
              <w:rPr>
                <w:rFonts w:ascii="Times New Roman" w:hAnsi="Times New Roman" w:eastAsia="宋体"/>
                <w:b/>
                <w:sz w:val="18"/>
              </w:rPr>
              <w:t>0.588</w:t>
            </w:r>
          </w:p>
        </w:tc>
        <w:tc>
          <w:tcPr>
            <w:tcW w:type="dxa" w:w="2296"/>
          </w:tcPr>
          <w:p>
            <w:pPr>
              <w:spacing w:after="40" w:before="40"/>
              <w:jc w:val="left"/>
            </w:pPr>
            <w:r>
              <w:rPr>
                <w:rFonts w:ascii="Times New Roman" w:hAnsi="Times New Roman" w:eastAsia="宋体"/>
                <w:sz w:val="18"/>
              </w:rPr>
              <w:t>89.3%</w:t>
            </w:r>
          </w:p>
        </w:tc>
        <w:tc>
          <w:tcPr>
            <w:tcW w:type="dxa" w:w="2296"/>
          </w:tcPr>
          <w:p>
            <w:pPr>
              <w:spacing w:after="40" w:before="40"/>
              <w:jc w:val="left"/>
            </w:pPr>
            <w:r>
              <w:rPr>
                <w:rFonts w:ascii="Times New Roman" w:hAnsi="Times New Roman" w:eastAsia="宋体"/>
                <w:sz w:val="18"/>
              </w:rPr>
              <w:t>51.6%</w:t>
            </w:r>
          </w:p>
        </w:tc>
      </w:tr>
      <w:tr>
        <w:tc>
          <w:tcPr>
            <w:tcW w:type="dxa" w:w="2296"/>
            <w:shd w:val="clear" w:color="auto" w:fill="F7F8FA"/>
          </w:tcPr>
          <w:p>
            <w:pPr>
              <w:spacing w:after="40" w:before="40"/>
              <w:jc w:val="left"/>
            </w:pPr>
            <w:r>
              <w:rPr>
                <w:rFonts w:ascii="Times New Roman" w:hAnsi="Times New Roman" w:eastAsia="宋体"/>
                <w:sz w:val="18"/>
              </w:rPr>
              <w:t>Modal</w:t>
            </w:r>
          </w:p>
        </w:tc>
        <w:tc>
          <w:tcPr>
            <w:tcW w:type="dxa" w:w="2296"/>
            <w:shd w:val="clear" w:color="auto" w:fill="F7F8FA"/>
          </w:tcPr>
          <w:p>
            <w:pPr>
              <w:spacing w:after="40" w:before="40"/>
              <w:jc w:val="left"/>
            </w:pPr>
            <w:r>
              <w:rPr>
                <w:rFonts w:ascii="Times New Roman" w:hAnsi="Times New Roman" w:eastAsia="宋体"/>
                <w:sz w:val="18"/>
              </w:rPr>
              <w:t>0.661</w:t>
            </w:r>
          </w:p>
        </w:tc>
        <w:tc>
          <w:tcPr>
            <w:tcW w:type="dxa" w:w="2296"/>
            <w:shd w:val="clear" w:color="auto" w:fill="F7F8FA"/>
          </w:tcPr>
          <w:p>
            <w:pPr>
              <w:spacing w:after="40" w:before="40"/>
              <w:jc w:val="left"/>
            </w:pPr>
            <w:r>
              <w:rPr>
                <w:rFonts w:ascii="Times New Roman" w:hAnsi="Times New Roman" w:eastAsia="宋体"/>
                <w:sz w:val="18"/>
              </w:rPr>
              <w:t>86.6%</w:t>
            </w:r>
          </w:p>
        </w:tc>
        <w:tc>
          <w:tcPr>
            <w:tcW w:type="dxa" w:w="2296"/>
            <w:shd w:val="clear" w:color="auto" w:fill="F7F8FA"/>
          </w:tcPr>
          <w:p>
            <w:pPr>
              <w:spacing w:after="40" w:before="40"/>
              <w:jc w:val="left"/>
            </w:pPr>
            <w:r>
              <w:rPr>
                <w:rFonts w:ascii="Times New Roman" w:hAnsi="Times New Roman" w:eastAsia="宋体"/>
                <w:sz w:val="18"/>
              </w:rPr>
              <w:t>17.8%</w:t>
            </w:r>
          </w:p>
        </w:tc>
      </w:tr>
      <w:tr>
        <w:tc>
          <w:tcPr>
            <w:tcW w:type="dxa" w:w="2296"/>
          </w:tcPr>
          <w:p>
            <w:pPr>
              <w:spacing w:after="40" w:before="40"/>
              <w:jc w:val="left"/>
            </w:pPr>
            <w:r>
              <w:rPr>
                <w:rFonts w:ascii="Times New Roman" w:hAnsi="Times New Roman" w:eastAsia="宋体"/>
                <w:sz w:val="18"/>
              </w:rPr>
              <w:t>Together</w:t>
            </w:r>
          </w:p>
        </w:tc>
        <w:tc>
          <w:tcPr>
            <w:tcW w:type="dxa" w:w="2296"/>
          </w:tcPr>
          <w:p>
            <w:pPr>
              <w:spacing w:after="40" w:before="40"/>
              <w:jc w:val="left"/>
            </w:pPr>
            <w:r>
              <w:rPr>
                <w:rFonts w:ascii="Times New Roman" w:hAnsi="Times New Roman" w:eastAsia="宋体"/>
                <w:sz w:val="18"/>
              </w:rPr>
              <w:t>0.779</w:t>
            </w:r>
          </w:p>
        </w:tc>
        <w:tc>
          <w:tcPr>
            <w:tcW w:type="dxa" w:w="2296"/>
          </w:tcPr>
          <w:p>
            <w:pPr>
              <w:spacing w:after="40" w:before="40"/>
              <w:jc w:val="left"/>
            </w:pPr>
            <w:r>
              <w:rPr>
                <w:rFonts w:ascii="Times New Roman" w:hAnsi="Times New Roman" w:eastAsia="宋体"/>
                <w:sz w:val="18"/>
              </w:rPr>
              <w:t>82.2%</w:t>
            </w:r>
          </w:p>
        </w:tc>
        <w:tc>
          <w:tcPr>
            <w:tcW w:type="dxa" w:w="2296"/>
          </w:tcPr>
          <w:p>
            <w:pPr>
              <w:spacing w:after="40" w:before="40"/>
              <w:jc w:val="left"/>
            </w:pPr>
            <w:r>
              <w:rPr>
                <w:rFonts w:ascii="Times New Roman" w:hAnsi="Times New Roman" w:eastAsia="宋体"/>
                <w:sz w:val="18"/>
              </w:rPr>
              <w:t>14.5%</w:t>
            </w:r>
          </w:p>
        </w:tc>
      </w:tr>
      <w:tr>
        <w:tc>
          <w:tcPr>
            <w:tcW w:type="dxa" w:w="2296"/>
            <w:shd w:val="clear" w:color="auto" w:fill="F7F8FA"/>
          </w:tcPr>
          <w:p>
            <w:pPr>
              <w:spacing w:after="40" w:before="40"/>
              <w:jc w:val="left"/>
            </w:pPr>
            <w:r>
              <w:rPr>
                <w:rFonts w:ascii="Times New Roman" w:hAnsi="Times New Roman" w:eastAsia="宋体"/>
                <w:sz w:val="18"/>
              </w:rPr>
              <w:t>Fireworks</w:t>
            </w:r>
          </w:p>
        </w:tc>
        <w:tc>
          <w:tcPr>
            <w:tcW w:type="dxa" w:w="2296"/>
            <w:shd w:val="clear" w:color="auto" w:fill="F7F8FA"/>
          </w:tcPr>
          <w:p>
            <w:pPr>
              <w:spacing w:after="40" w:before="40"/>
              <w:jc w:val="left"/>
            </w:pPr>
            <w:r>
              <w:rPr>
                <w:rFonts w:ascii="Times New Roman" w:hAnsi="Times New Roman" w:eastAsia="宋体"/>
                <w:sz w:val="18"/>
              </w:rPr>
              <w:t>0.679</w:t>
            </w:r>
          </w:p>
        </w:tc>
        <w:tc>
          <w:tcPr>
            <w:tcW w:type="dxa" w:w="2296"/>
            <w:shd w:val="clear" w:color="auto" w:fill="F7F8FA"/>
          </w:tcPr>
          <w:p>
            <w:pPr>
              <w:spacing w:after="40" w:before="40"/>
              <w:jc w:val="left"/>
            </w:pPr>
            <w:r>
              <w:rPr>
                <w:rFonts w:ascii="Times New Roman" w:hAnsi="Times New Roman" w:eastAsia="宋体"/>
                <w:sz w:val="18"/>
              </w:rPr>
              <w:t>86.0%</w:t>
            </w:r>
          </w:p>
        </w:tc>
        <w:tc>
          <w:tcPr>
            <w:tcW w:type="dxa" w:w="2296"/>
            <w:shd w:val="clear" w:color="auto" w:fill="F7F8FA"/>
          </w:tcPr>
          <w:p>
            <w:pPr>
              <w:spacing w:after="40" w:before="40"/>
              <w:jc w:val="left"/>
            </w:pPr>
            <w:r>
              <w:rPr>
                <w:rFonts w:ascii="Times New Roman" w:hAnsi="Times New Roman" w:eastAsia="宋体"/>
                <w:sz w:val="18"/>
              </w:rPr>
              <w:t>7.5%</w:t>
            </w:r>
          </w:p>
        </w:tc>
      </w:tr>
      <w:tr>
        <w:tc>
          <w:tcPr>
            <w:tcW w:type="dxa" w:w="2296"/>
          </w:tcPr>
          <w:p>
            <w:pPr>
              <w:spacing w:after="40" w:before="40"/>
              <w:jc w:val="left"/>
            </w:pPr>
            <w:r>
              <w:rPr>
                <w:rFonts w:ascii="Times New Roman" w:hAnsi="Times New Roman" w:eastAsia="宋体"/>
                <w:sz w:val="18"/>
              </w:rPr>
              <w:t>DigitalOcean</w:t>
            </w:r>
          </w:p>
        </w:tc>
        <w:tc>
          <w:tcPr>
            <w:tcW w:type="dxa" w:w="2296"/>
          </w:tcPr>
          <w:p>
            <w:pPr>
              <w:spacing w:after="40" w:before="40"/>
              <w:jc w:val="left"/>
            </w:pPr>
            <w:r>
              <w:rPr>
                <w:rFonts w:ascii="Times New Roman" w:hAnsi="Times New Roman" w:eastAsia="宋体"/>
                <w:sz w:val="18"/>
              </w:rPr>
              <w:t>0.963</w:t>
            </w:r>
          </w:p>
        </w:tc>
        <w:tc>
          <w:tcPr>
            <w:tcW w:type="dxa" w:w="2296"/>
          </w:tcPr>
          <w:p>
            <w:pPr>
              <w:spacing w:after="40" w:before="40"/>
              <w:jc w:val="left"/>
            </w:pPr>
            <w:r>
              <w:rPr>
                <w:rFonts w:ascii="Times New Roman" w:hAnsi="Times New Roman" w:eastAsia="宋体"/>
                <w:sz w:val="18"/>
              </w:rPr>
              <w:t>75.4%</w:t>
            </w:r>
          </w:p>
        </w:tc>
        <w:tc>
          <w:tcPr>
            <w:tcW w:type="dxa" w:w="2296"/>
          </w:tcPr>
          <w:p>
            <w:pPr>
              <w:spacing w:after="40" w:before="40"/>
              <w:jc w:val="left"/>
            </w:pPr>
            <w:r>
              <w:rPr>
                <w:rFonts w:ascii="Times New Roman" w:hAnsi="Times New Roman" w:eastAsia="宋体"/>
                <w:sz w:val="18"/>
              </w:rPr>
              <w:t>2.7%</w:t>
            </w:r>
          </w:p>
        </w:tc>
      </w:tr>
      <w:tr>
        <w:tc>
          <w:tcPr>
            <w:tcW w:type="dxa" w:w="2296"/>
            <w:shd w:val="clear" w:color="auto" w:fill="F7F8FA"/>
          </w:tcPr>
          <w:p>
            <w:pPr>
              <w:spacing w:after="40" w:before="40"/>
              <w:jc w:val="left"/>
            </w:pPr>
            <w:r>
              <w:rPr>
                <w:rFonts w:ascii="Times New Roman" w:hAnsi="Times New Roman" w:eastAsia="宋体"/>
                <w:sz w:val="18"/>
              </w:rPr>
              <w:t>Baseten</w:t>
            </w:r>
          </w:p>
        </w:tc>
        <w:tc>
          <w:tcPr>
            <w:tcW w:type="dxa" w:w="2296"/>
            <w:shd w:val="clear" w:color="auto" w:fill="F7F8FA"/>
          </w:tcPr>
          <w:p>
            <w:pPr>
              <w:spacing w:after="40" w:before="40"/>
              <w:jc w:val="left"/>
            </w:pPr>
            <w:r>
              <w:rPr>
                <w:rFonts w:ascii="Times New Roman" w:hAnsi="Times New Roman" w:eastAsia="宋体"/>
                <w:sz w:val="18"/>
              </w:rPr>
              <w:t>1.23</w:t>
            </w:r>
          </w:p>
        </w:tc>
        <w:tc>
          <w:tcPr>
            <w:tcW w:type="dxa" w:w="2296"/>
            <w:shd w:val="clear" w:color="auto" w:fill="F7F8FA"/>
          </w:tcPr>
          <w:p>
            <w:pPr>
              <w:spacing w:after="40" w:before="40"/>
              <w:jc w:val="left"/>
            </w:pPr>
            <w:r>
              <w:rPr>
                <w:rFonts w:ascii="Times New Roman" w:hAnsi="Times New Roman" w:eastAsia="宋体"/>
                <w:sz w:val="18"/>
              </w:rPr>
              <w:t>65.5%</w:t>
            </w:r>
          </w:p>
        </w:tc>
        <w:tc>
          <w:tcPr>
            <w:tcW w:type="dxa" w:w="2296"/>
            <w:shd w:val="clear" w:color="auto" w:fill="F7F8FA"/>
          </w:tcPr>
          <w:p>
            <w:pPr>
              <w:spacing w:after="40" w:before="40"/>
              <w:jc w:val="left"/>
            </w:pPr>
            <w:r>
              <w:rPr>
                <w:rFonts w:ascii="Times New Roman" w:hAnsi="Times New Roman" w:eastAsia="宋体"/>
                <w:sz w:val="18"/>
              </w:rPr>
              <w:t>0.4%</w:t>
            </w:r>
          </w:p>
        </w:tc>
      </w:tr>
    </w:tbl>
    <w:p>
      <w:pPr>
        <w:spacing w:after="80"/>
      </w:pPr>
    </w:p>
    <w:p>
      <w:pPr>
        <w:spacing w:after="120" w:line="324" w:lineRule="auto"/>
      </w:pPr>
      <w:r>
        <w:rPr>
          <w:rFonts w:ascii="Times New Roman" w:hAnsi="Times New Roman" w:eastAsia="宋体"/>
          <w:b/>
          <w:sz w:val="21"/>
        </w:rPr>
        <w:t>关键性</w:t>
      </w:r>
      <w:r>
        <w:rPr>
          <w:rFonts w:ascii="Times New Roman" w:hAnsi="Times New Roman" w:eastAsia="宋体"/>
          <w:sz w:val="21"/>
        </w:rPr>
        <w:t xml:space="preserve">：真实业务缓存命中率 65%–89%，有效输入价仅为标价的 20%–33%。本模型取 </w:t>
      </w:r>
      <w:r>
        <w:rPr>
          <w:rFonts w:ascii="Times New Roman" w:hAnsi="Times New Roman" w:eastAsia="宋体"/>
          <w:b/>
          <w:sz w:val="21"/>
        </w:rPr>
        <w:t>85%</w:t>
      </w:r>
      <w:r>
        <w:rPr>
          <w:rFonts w:ascii="Times New Roman" w:hAnsi="Times New Roman" w:eastAsia="宋体"/>
          <w:sz w:val="21"/>
        </w:rPr>
        <w:t xml:space="preserve">，对应有效输入价 </w:t>
      </w:r>
      <w:r>
        <w:rPr>
          <w:rFonts w:ascii="Times New Roman" w:hAnsi="Times New Roman" w:eastAsia="宋体"/>
          <w:b/>
          <w:sz w:val="21"/>
        </w:rPr>
        <w:t>$0.705/M</w:t>
      </w:r>
      <w:r>
        <w:rPr>
          <w:rFonts w:ascii="Times New Roman" w:hAnsi="Times New Roman" w:eastAsia="宋体"/>
          <w:sz w:val="21"/>
        </w:rPr>
        <w:t>。若按标价计算会把输入侧收入高估 3–5 倍。</w:t>
      </w:r>
    </w:p>
    <w:p>
      <w:pPr>
        <w:pStyle w:val="Heading3"/>
        <w:keepNext/>
        <w:spacing w:before="200" w:after="120"/>
      </w:pPr>
      <w:r>
        <w:rPr>
          <w:rFonts w:ascii="Segoe UI" w:hAnsi="Segoe UI" w:eastAsia="微软雅黑"/>
          <w:b/>
          <w:color w:val="1F3B63"/>
          <w:sz w:val="25"/>
        </w:rPr>
        <w:t>S-22 OpenRouter 的 provider 结算机制</w:t>
      </w:r>
    </w:p>
    <w:p>
      <w:pPr>
        <w:spacing w:after="120" w:line="324" w:lineRule="auto"/>
      </w:pPr>
      <w:r>
        <w:rPr>
          <w:rFonts w:ascii="Times New Roman" w:hAnsi="Times New Roman" w:eastAsia="宋体"/>
          <w:sz w:val="21"/>
        </w:rPr>
        <w:t>来源：&lt;https://openrouter.ai/docs/guides/get-started/for-providers&gt;、&lt;https://openrouter.ai/providers/apply&gt;、&lt;https://openrouter.ai/docs/faq.md&gt;、&lt;https://openrouter.ai/pricing&gt;</w:t>
      </w:r>
    </w:p>
    <w:p>
      <w:pPr>
        <w:pStyle w:val="ListBullet"/>
        <w:spacing w:after="60" w:line="312" w:lineRule="auto"/>
        <w:ind w:left="425"/>
      </w:pPr>
      <w:r>
        <w:rPr>
          <w:rFonts w:ascii="Times New Roman" w:hAnsi="Times New Roman" w:eastAsia="宋体"/>
          <w:b/>
          <w:sz w:val="21"/>
        </w:rPr>
        <w:t>不对 provider 价格加价</w:t>
      </w:r>
      <w:r>
        <w:rPr>
          <w:rFonts w:ascii="Times New Roman" w:hAnsi="Times New Roman" w:eastAsia="宋体"/>
          <w:sz w:val="21"/>
        </w:rPr>
        <w:t>："We pass through the pricing of the underlying providers; there is no markup on inference pricing"。平台向终端用户收取 5.5% 的充值手续费，与 provider 无关。</w:t>
      </w:r>
    </w:p>
    <w:p>
      <w:pPr>
        <w:pStyle w:val="ListBullet"/>
        <w:spacing w:after="60" w:line="312" w:lineRule="auto"/>
        <w:ind w:left="425"/>
      </w:pPr>
      <w:r>
        <w:rPr>
          <w:rFonts w:ascii="Times New Roman" w:hAnsi="Times New Roman" w:eastAsia="宋体"/>
          <w:sz w:val="21"/>
        </w:rPr>
        <w:t xml:space="preserve">provider </w:t>
      </w:r>
      <w:r>
        <w:rPr>
          <w:rFonts w:ascii="Times New Roman" w:hAnsi="Times New Roman" w:eastAsia="宋体"/>
          <w:b/>
          <w:sz w:val="21"/>
        </w:rPr>
        <w:t>自设美元价</w:t>
      </w:r>
      <w:r>
        <w:rPr>
          <w:rFonts w:ascii="Times New Roman" w:hAnsi="Times New Roman" w:eastAsia="宋体"/>
          <w:sz w:val="21"/>
        </w:rPr>
        <w:t xml:space="preserve">，通过 </w:t>
      </w:r>
      <w:r>
        <w:rPr>
          <w:rFonts w:ascii="Consolas" w:hAnsi="Consolas" w:eastAsia="Consolas"/>
          <w:sz w:val="20"/>
        </w:rPr>
        <w:t>/models</w:t>
      </w:r>
      <w:r>
        <w:rPr>
          <w:rFonts w:ascii="Times New Roman" w:hAnsi="Times New Roman" w:eastAsia="宋体"/>
          <w:sz w:val="21"/>
        </w:rPr>
        <w:t xml:space="preserve"> 端点发布定价、上下文长度、最大输出、数据中心位置。</w:t>
      </w:r>
    </w:p>
    <w:p>
      <w:pPr>
        <w:pStyle w:val="ListBullet"/>
        <w:spacing w:after="60" w:line="312" w:lineRule="auto"/>
        <w:ind w:left="425"/>
      </w:pPr>
      <w:r>
        <w:rPr>
          <w:rFonts w:ascii="Times New Roman" w:hAnsi="Times New Roman" w:eastAsia="宋体"/>
          <w:sz w:val="21"/>
        </w:rPr>
        <w:t>结算方式：</w:t>
      </w:r>
      <w:r>
        <w:rPr>
          <w:rFonts w:ascii="Times New Roman" w:hAnsi="Times New Roman" w:eastAsia="宋体"/>
          <w:b/>
          <w:sz w:val="21"/>
        </w:rPr>
        <w:t>按月开票</w:t>
      </w:r>
      <w:r>
        <w:rPr>
          <w:rFonts w:ascii="Times New Roman" w:hAnsi="Times New Roman" w:eastAsia="宋体"/>
          <w:sz w:val="21"/>
        </w:rPr>
        <w:t>（monthly invoicing），token 计数自动对账。</w:t>
      </w:r>
    </w:p>
    <w:p>
      <w:pPr>
        <w:pStyle w:val="ListBullet"/>
        <w:spacing w:after="60" w:line="312" w:lineRule="auto"/>
        <w:ind w:left="425"/>
      </w:pPr>
      <w:r>
        <w:rPr>
          <w:rFonts w:ascii="Times New Roman" w:hAnsi="Times New Roman" w:eastAsia="宋体"/>
          <w:sz w:val="21"/>
        </w:rPr>
        <w:t>技术门槛：</w:t>
      </w:r>
      <w:r>
        <w:rPr>
          <w:rFonts w:ascii="Consolas" w:hAnsi="Consolas" w:eastAsia="Consolas"/>
          <w:sz w:val="20"/>
        </w:rPr>
        <w:t>/chat/completions</w:t>
      </w:r>
      <w:r>
        <w:rPr>
          <w:rFonts w:ascii="Times New Roman" w:hAnsi="Times New Roman" w:eastAsia="宋体"/>
          <w:sz w:val="21"/>
        </w:rPr>
        <w:t xml:space="preserve"> 须 OpenAI 兼容、支持流式、流式与非流式都要返回 usage。</w:t>
      </w:r>
    </w:p>
    <w:p>
      <w:pPr>
        <w:pStyle w:val="ListBullet"/>
        <w:spacing w:after="60" w:line="312" w:lineRule="auto"/>
        <w:ind w:left="425"/>
      </w:pPr>
      <w:r>
        <w:rPr>
          <w:rFonts w:ascii="Times New Roman" w:hAnsi="Times New Roman" w:eastAsia="宋体"/>
          <w:sz w:val="21"/>
        </w:rPr>
        <w:t xml:space="preserve">路由：默认按价格负载均衡并考虑可用率；可按 </w:t>
      </w:r>
      <w:r>
        <w:rPr>
          <w:rFonts w:ascii="Consolas" w:hAnsi="Consolas" w:eastAsia="Consolas"/>
          <w:sz w:val="20"/>
        </w:rPr>
        <w:t>price</w:t>
      </w:r>
      <w:r>
        <w:rPr>
          <w:rFonts w:ascii="Times New Roman" w:hAnsi="Times New Roman" w:eastAsia="宋体"/>
          <w:sz w:val="21"/>
        </w:rPr>
        <w:t xml:space="preserve"> / </w:t>
      </w:r>
      <w:r>
        <w:rPr>
          <w:rFonts w:ascii="Consolas" w:hAnsi="Consolas" w:eastAsia="Consolas"/>
          <w:sz w:val="20"/>
        </w:rPr>
        <w:t>throughput</w:t>
      </w:r>
      <w:r>
        <w:rPr>
          <w:rFonts w:ascii="Times New Roman" w:hAnsi="Times New Roman" w:eastAsia="宋体"/>
          <w:sz w:val="21"/>
        </w:rPr>
        <w:t xml:space="preserve"> / </w:t>
      </w:r>
      <w:r>
        <w:rPr>
          <w:rFonts w:ascii="Consolas" w:hAnsi="Consolas" w:eastAsia="Consolas"/>
          <w:sz w:val="20"/>
        </w:rPr>
        <w:t>latency</w:t>
      </w:r>
      <w:r>
        <w:rPr>
          <w:rFonts w:ascii="Times New Roman" w:hAnsi="Times New Roman" w:eastAsia="宋体"/>
          <w:sz w:val="21"/>
        </w:rPr>
        <w:t xml:space="preserve"> 排序。</w:t>
      </w:r>
    </w:p>
    <w:p>
      <w:pPr>
        <w:pStyle w:val="ListBullet"/>
        <w:spacing w:after="60" w:line="312" w:lineRule="auto"/>
        <w:ind w:left="425"/>
      </w:pPr>
      <w:r>
        <w:rPr>
          <w:rFonts w:ascii="Times New Roman" w:hAnsi="Times New Roman" w:eastAsia="宋体"/>
          <w:b/>
          <w:sz w:val="21"/>
        </w:rPr>
        <w:t>Auto Exacto 会对统计离群的 provider derank</w:t>
      </w:r>
      <w:r>
        <w:rPr>
          <w:rFonts w:ascii="Times New Roman" w:hAnsi="Times New Roman" w:eastAsia="宋体"/>
          <w:sz w:val="21"/>
        </w:rPr>
        <w:t>，依据吞吐、工具调用遥测与基准分三路信号；</w:t>
      </w:r>
      <w:r>
        <w:rPr>
          <w:rFonts w:ascii="Times New Roman" w:hAnsi="Times New Roman" w:eastAsia="宋体"/>
          <w:b/>
          <w:sz w:val="21"/>
        </w:rPr>
        <w:t>新 provider 先落在中间层</w:t>
      </w:r>
      <w:r>
        <w:rPr>
          <w:rFonts w:ascii="Times New Roman" w:hAnsi="Times New Roman" w:eastAsia="宋体"/>
          <w:sz w:val="21"/>
        </w:rPr>
        <w:t>直到积累足够流量。</w:t>
      </w:r>
    </w:p>
    <w:p>
      <w:pPr>
        <w:spacing w:after="120" w:line="324" w:lineRule="auto"/>
      </w:pPr>
      <w:r>
        <w:rPr>
          <w:rFonts w:ascii="Times New Roman" w:hAnsi="Times New Roman" w:eastAsia="宋体"/>
          <w:b/>
          <w:sz w:val="21"/>
        </w:rPr>
        <w:t>关键性</w:t>
      </w:r>
      <w:r>
        <w:rPr>
          <w:rFonts w:ascii="Times New Roman" w:hAnsi="Times New Roman" w:eastAsia="宋体"/>
          <w:sz w:val="21"/>
        </w:rPr>
        <w:t>：这条决定了本模型的双轨费率结构（聚合渠道无手续费但有账期，自建渠道有手续费但预付），也决定了 SLO 看门狗的必要性。</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四、出口管制与合规</w:t>
      </w:r>
    </w:p>
    <w:p>
      <w:pPr>
        <w:pStyle w:val="Heading3"/>
        <w:keepNext/>
        <w:spacing w:before="200" w:after="120"/>
      </w:pPr>
      <w:r>
        <w:rPr>
          <w:rFonts w:ascii="Segoe UI" w:hAnsi="Segoe UI" w:eastAsia="微软雅黑"/>
          <w:b/>
          <w:color w:val="1F3B63"/>
          <w:sz w:val="25"/>
        </w:rPr>
        <w:t>S-13 BIS 2026-05-31 指引（实体属性管制）</w:t>
      </w:r>
    </w:p>
    <w:p>
      <w:pPr>
        <w:spacing w:after="120" w:line="324" w:lineRule="auto"/>
      </w:pPr>
      <w:r>
        <w:rPr>
          <w:rFonts w:ascii="Times New Roman" w:hAnsi="Times New Roman" w:eastAsia="宋体"/>
          <w:sz w:val="21"/>
        </w:rPr>
        <w:t>来源：&lt;https://media.bis.gov/media/documents/bis-guidance-may-31-2026.pdf&gt;</w:t>
      </w:r>
    </w:p>
    <w:p>
      <w:pPr>
        <w:spacing w:after="120" w:line="324" w:lineRule="auto"/>
      </w:pPr>
      <w:r>
        <w:rPr>
          <w:rFonts w:ascii="Times New Roman" w:hAnsi="Times New Roman" w:eastAsia="宋体"/>
          <w:sz w:val="21"/>
        </w:rPr>
        <w:t>原文关键句：</w:t>
      </w:r>
    </w:p>
    <w:p>
      <w:pPr>
        <w:spacing w:before="80" w:after="160"/>
        <w:ind w:left="454"/>
        <w:shd w:val="clear" w:color="auto" w:fill="F7F7F9"/>
      </w:pPr>
      <w:r>
        <w:rPr>
          <w:rFonts w:ascii="Times New Roman" w:hAnsi="Times New Roman" w:eastAsia="宋体"/>
          <w:i/>
          <w:sz w:val="20"/>
        </w:rPr>
        <w:t xml:space="preserve">a license requirement continues to apply under § 742.6(a)(6)(iii)(A) of the EAR to </w:t>
      </w:r>
      <w:r>
        <w:rPr>
          <w:rFonts w:ascii="Times New Roman" w:hAnsi="Times New Roman" w:eastAsia="宋体"/>
          <w:b/>
          <w:i/>
          <w:sz w:val="20"/>
        </w:rPr>
        <w:t>all destinations outside the United States</w:t>
      </w:r>
      <w:r>
        <w:rPr>
          <w:rFonts w:ascii="Times New Roman" w:hAnsi="Times New Roman" w:eastAsia="宋体"/>
          <w:i/>
          <w:sz w:val="20"/>
        </w:rPr>
        <w:t xml:space="preserve"> for these advanced computing items when such items are for entities headquartered in, or whose ultimate parent company is headquartered in, Country Group D:5 or Macau.</w:t>
      </w:r>
    </w:p>
    <w:p>
      <w:pPr>
        <w:spacing w:before="80" w:after="160"/>
        <w:ind w:left="454"/>
        <w:shd w:val="clear" w:color="auto" w:fill="F7F7F9"/>
      </w:pPr>
      <w:r>
        <w:rPr>
          <w:rFonts w:ascii="Times New Roman" w:hAnsi="Times New Roman" w:eastAsia="宋体"/>
          <w:i/>
          <w:sz w:val="20"/>
        </w:rPr>
        <w:t>Bona fide operators of data centers who are otherwise engaged in activities consistent with the EAR are not required to cease the ongoing use, storage, disposal, or servicing of advanced computing items because of this guidance, until further notice from BIS.</w:t>
      </w:r>
    </w:p>
    <w:p>
      <w:pPr>
        <w:spacing w:after="120" w:line="324" w:lineRule="auto"/>
      </w:pPr>
      <w:r>
        <w:rPr>
          <w:rFonts w:ascii="Times New Roman" w:hAnsi="Times New Roman" w:eastAsia="宋体"/>
          <w:sz w:val="21"/>
        </w:rPr>
        <w:t>覆盖 ECCN：3A090.a、3A090.b、4A090.a、4A090.b 及相关 .z 项。许可例外见 §740.2(a)(9)(ii)。</w:t>
      </w:r>
    </w:p>
    <w:p>
      <w:pPr>
        <w:spacing w:after="120" w:line="324" w:lineRule="auto"/>
      </w:pPr>
      <w:r>
        <w:rPr>
          <w:rFonts w:ascii="Times New Roman" w:hAnsi="Times New Roman" w:eastAsia="宋体"/>
          <w:sz w:val="21"/>
        </w:rPr>
        <w:t>律师解读（Greenberg Traurig）：&lt;https://www.gtlaw.com/en/insights/2026/6/enforcement-pause-has-limits-bis-clarifies-ongoing-license-requirement-for-advanced-computing-items-to-china-linked-entities&gt;</w:t>
      </w:r>
    </w:p>
    <w:p>
      <w:pPr>
        <w:spacing w:before="80" w:after="160"/>
        <w:ind w:left="454"/>
        <w:shd w:val="clear" w:color="auto" w:fill="F7F7F9"/>
      </w:pPr>
      <w:r>
        <w:rPr>
          <w:rFonts w:ascii="Times New Roman" w:hAnsi="Times New Roman" w:eastAsia="宋体"/>
          <w:i/>
          <w:sz w:val="20"/>
        </w:rPr>
        <w:t>regardless of whether the recipient is located in a third country such as Singapore, the United Arab Emirates, or Malaysia. Exporters therefore cannot rely solely on the recipient's physical location when evaluating licensing obligations.</w:t>
      </w:r>
    </w:p>
    <w:p>
      <w:pPr>
        <w:spacing w:after="120" w:line="324" w:lineRule="auto"/>
      </w:pPr>
      <w:r>
        <w:rPr>
          <w:rFonts w:ascii="Times New Roman" w:hAnsi="Times New Roman" w:eastAsia="宋体"/>
          <w:b/>
          <w:sz w:val="21"/>
        </w:rPr>
        <w:t>关键性</w:t>
      </w:r>
      <w:r>
        <w:rPr>
          <w:rFonts w:ascii="Times New Roman" w:hAnsi="Times New Roman" w:eastAsia="宋体"/>
          <w:sz w:val="21"/>
        </w:rPr>
        <w:t>：这是</w:t>
      </w:r>
      <w:r>
        <w:rPr>
          <w:rFonts w:ascii="Times New Roman" w:hAnsi="Times New Roman" w:eastAsia="宋体"/>
          <w:b/>
          <w:sz w:val="21"/>
        </w:rPr>
        <w:t>实体属性</w:t>
      </w:r>
      <w:r>
        <w:rPr>
          <w:rFonts w:ascii="Times New Roman" w:hAnsi="Times New Roman" w:eastAsia="宋体"/>
          <w:sz w:val="21"/>
        </w:rPr>
        <w:t>管制，不是目的地管制。</w:t>
      </w:r>
      <w:r>
        <w:rPr>
          <w:rFonts w:ascii="Times New Roman" w:hAnsi="Times New Roman" w:eastAsia="宋体"/>
          <w:b/>
          <w:sz w:val="21"/>
        </w:rPr>
        <w:t>更换东道国无法解除。</w:t>
      </w:r>
      <w:r>
        <w:rPr>
          <w:rFonts w:ascii="Times New Roman" w:hAnsi="Times New Roman" w:eastAsia="宋体"/>
          <w:sz w:val="21"/>
        </w:rPr>
        <w:t xml:space="preserve"> 这是本报告的 Gate 0。</w:t>
      </w:r>
    </w:p>
    <w:p>
      <w:pPr>
        <w:pStyle w:val="Heading3"/>
        <w:keepNext/>
        <w:spacing w:before="200" w:after="120"/>
      </w:pPr>
      <w:r>
        <w:rPr>
          <w:rFonts w:ascii="Segoe UI" w:hAnsi="Segoe UI" w:eastAsia="微软雅黑"/>
          <w:b/>
          <w:color w:val="1F3B63"/>
          <w:sz w:val="25"/>
        </w:rPr>
        <w:t>S-14 Country Group 归属</w:t>
      </w:r>
    </w:p>
    <w:p>
      <w:pPr>
        <w:spacing w:after="120" w:line="324" w:lineRule="auto"/>
      </w:pPr>
      <w:r>
        <w:rPr>
          <w:rFonts w:ascii="Times New Roman" w:hAnsi="Times New Roman" w:eastAsia="宋体"/>
          <w:sz w:val="21"/>
        </w:rPr>
        <w:t>来源：EAR Supplement No. 1 to Part 740 &lt;https://www.govinfo.gov/content/pkg/CFR-2021-title15-vol2/pdf/CFR-2021-title15-vol2-part740-appNo-.pdf&gt;；BIS 交互式国家清单 &lt;https://media.bis.gov/regulations/ear/interactive-commerce-country-chart&gt;</w:t>
      </w:r>
    </w:p>
    <w:p>
      <w:pPr>
        <w:spacing w:after="120" w:line="324" w:lineRule="auto"/>
      </w:pPr>
      <w:r>
        <w:rPr>
          <w:rFonts w:ascii="Times New Roman" w:hAnsi="Times New Roman" w:eastAsia="宋体"/>
          <w:sz w:val="21"/>
        </w:rPr>
        <w:t>节录中直接可见的东南亚条目：</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color="auto" w:fill="1F3B63"/>
          </w:tcPr>
          <w:p>
            <w:pPr>
              <w:spacing w:after="40" w:before="40"/>
              <w:jc w:val="center"/>
            </w:pPr>
            <w:r>
              <w:rPr>
                <w:rFonts w:ascii="Segoe UI" w:hAnsi="Segoe UI" w:eastAsia="微软雅黑"/>
                <w:b/>
                <w:color w:val="FFFFFF"/>
                <w:sz w:val="18"/>
              </w:rPr>
              <w:t>国家</w:t>
            </w:r>
          </w:p>
        </w:tc>
        <w:tc>
          <w:tcPr>
            <w:tcW w:type="dxa" w:w="3061"/>
            <w:shd w:val="clear" w:color="auto" w:fill="1F3B63"/>
          </w:tcPr>
          <w:p>
            <w:pPr>
              <w:spacing w:after="40" w:before="40"/>
              <w:jc w:val="center"/>
            </w:pPr>
            <w:r>
              <w:rPr>
                <w:rFonts w:ascii="Segoe UI" w:hAnsi="Segoe UI" w:eastAsia="微软雅黑"/>
                <w:b/>
                <w:color w:val="FFFFFF"/>
                <w:sz w:val="18"/>
              </w:rPr>
              <w:t>D:1</w:t>
            </w:r>
          </w:p>
        </w:tc>
        <w:tc>
          <w:tcPr>
            <w:tcW w:type="dxa" w:w="3061"/>
            <w:shd w:val="clear" w:color="auto" w:fill="1F3B63"/>
          </w:tcPr>
          <w:p>
            <w:pPr>
              <w:spacing w:after="40" w:before="40"/>
              <w:jc w:val="center"/>
            </w:pPr>
            <w:r>
              <w:rPr>
                <w:rFonts w:ascii="Segoe UI" w:hAnsi="Segoe UI" w:eastAsia="微软雅黑"/>
                <w:b/>
                <w:color w:val="FFFFFF"/>
                <w:sz w:val="18"/>
              </w:rPr>
              <w:t>D:5</w:t>
            </w:r>
          </w:p>
        </w:tc>
      </w:tr>
      <w:tr>
        <w:tc>
          <w:tcPr>
            <w:tcW w:type="dxa" w:w="3061"/>
          </w:tcPr>
          <w:p>
            <w:pPr>
              <w:spacing w:after="40" w:before="40"/>
              <w:jc w:val="left"/>
            </w:pPr>
            <w:r>
              <w:rPr>
                <w:rFonts w:ascii="Times New Roman" w:hAnsi="Times New Roman" w:eastAsia="宋体"/>
                <w:sz w:val="18"/>
              </w:rPr>
              <w:t>Burma（缅甸）</w:t>
            </w:r>
          </w:p>
        </w:tc>
        <w:tc>
          <w:tcPr>
            <w:tcW w:type="dxa" w:w="3061"/>
          </w:tcPr>
          <w:p>
            <w:pPr>
              <w:spacing w:after="40" w:before="40"/>
              <w:jc w:val="left"/>
            </w:pPr>
            <w:r>
              <w:rPr>
                <w:rFonts w:ascii="Times New Roman" w:hAnsi="Times New Roman" w:eastAsia="宋体"/>
                <w:sz w:val="18"/>
              </w:rPr>
              <w:t>X</w:t>
            </w:r>
          </w:p>
        </w:tc>
        <w:tc>
          <w:tcPr>
            <w:tcW w:type="dxa" w:w="3061"/>
          </w:tcPr>
          <w:p>
            <w:pPr>
              <w:spacing w:after="40" w:before="40"/>
              <w:jc w:val="left"/>
            </w:pPr>
            <w:r>
              <w:rPr>
                <w:rFonts w:ascii="Times New Roman" w:hAnsi="Times New Roman" w:eastAsia="宋体"/>
                <w:sz w:val="18"/>
              </w:rPr>
              <w:t>X</w:t>
            </w:r>
          </w:p>
        </w:tc>
      </w:tr>
      <w:tr>
        <w:tc>
          <w:tcPr>
            <w:tcW w:type="dxa" w:w="3061"/>
            <w:shd w:val="clear" w:color="auto" w:fill="F7F8FA"/>
          </w:tcPr>
          <w:p>
            <w:pPr>
              <w:spacing w:after="40" w:before="40"/>
              <w:jc w:val="left"/>
            </w:pPr>
            <w:r>
              <w:rPr>
                <w:rFonts w:ascii="Times New Roman" w:hAnsi="Times New Roman" w:eastAsia="宋体"/>
                <w:sz w:val="18"/>
              </w:rPr>
              <w:t>Cambodia（柬埔寨）</w:t>
            </w:r>
          </w:p>
        </w:tc>
        <w:tc>
          <w:tcPr>
            <w:tcW w:type="dxa" w:w="3061"/>
            <w:shd w:val="clear" w:color="auto" w:fill="F7F8FA"/>
          </w:tcPr>
          <w:p>
            <w:pPr>
              <w:spacing w:after="40" w:before="40"/>
              <w:jc w:val="left"/>
            </w:pPr>
            <w:r>
              <w:rPr>
                <w:rFonts w:ascii="Times New Roman" w:hAnsi="Times New Roman" w:eastAsia="宋体"/>
                <w:sz w:val="18"/>
              </w:rPr>
              <w:t>X</w:t>
            </w:r>
          </w:p>
        </w:tc>
        <w:tc>
          <w:tcPr>
            <w:tcW w:type="dxa" w:w="3061"/>
            <w:shd w:val="clear" w:color="auto" w:fill="F7F8FA"/>
          </w:tcPr>
          <w:p>
            <w:pPr>
              <w:spacing w:after="40" w:before="40"/>
              <w:jc w:val="left"/>
            </w:pPr>
            <w:r>
              <w:rPr>
                <w:rFonts w:ascii="Times New Roman" w:hAnsi="Times New Roman" w:eastAsia="宋体"/>
                <w:sz w:val="18"/>
              </w:rPr>
              <w:t>（已移除，见 S-15）</w:t>
            </w:r>
          </w:p>
        </w:tc>
      </w:tr>
      <w:tr>
        <w:tc>
          <w:tcPr>
            <w:tcW w:type="dxa" w:w="3061"/>
          </w:tcPr>
          <w:p>
            <w:pPr>
              <w:spacing w:after="40" w:before="40"/>
              <w:jc w:val="left"/>
            </w:pPr>
            <w:r>
              <w:rPr>
                <w:rFonts w:ascii="Times New Roman" w:hAnsi="Times New Roman" w:eastAsia="宋体"/>
                <w:sz w:val="18"/>
              </w:rPr>
              <w:t>Laos（老挝）</w:t>
            </w:r>
          </w:p>
        </w:tc>
        <w:tc>
          <w:tcPr>
            <w:tcW w:type="dxa" w:w="3061"/>
          </w:tcPr>
          <w:p>
            <w:pPr>
              <w:spacing w:after="40" w:before="40"/>
              <w:jc w:val="left"/>
            </w:pPr>
            <w:r>
              <w:rPr>
                <w:rFonts w:ascii="Times New Roman" w:hAnsi="Times New Roman" w:eastAsia="宋体"/>
                <w:sz w:val="18"/>
              </w:rPr>
              <w:t>X</w:t>
            </w:r>
          </w:p>
        </w:tc>
        <w:tc>
          <w:tcPr>
            <w:tcW w:type="dxa" w:w="3061"/>
          </w:tcPr>
          <w:p>
            <w:pPr>
              <w:spacing w:after="40" w:before="40"/>
              <w:jc w:val="left"/>
            </w:pPr>
          </w:p>
        </w:tc>
      </w:tr>
      <w:tr>
        <w:tc>
          <w:tcPr>
            <w:tcW w:type="dxa" w:w="3061"/>
            <w:shd w:val="clear" w:color="auto" w:fill="F7F8FA"/>
          </w:tcPr>
          <w:p>
            <w:pPr>
              <w:spacing w:after="40" w:before="40"/>
              <w:jc w:val="left"/>
            </w:pPr>
            <w:r>
              <w:rPr>
                <w:rFonts w:ascii="Times New Roman" w:hAnsi="Times New Roman" w:eastAsia="宋体"/>
                <w:sz w:val="18"/>
              </w:rPr>
              <w:t>Vietnam（越南）</w:t>
            </w:r>
          </w:p>
        </w:tc>
        <w:tc>
          <w:tcPr>
            <w:tcW w:type="dxa" w:w="3061"/>
            <w:shd w:val="clear" w:color="auto" w:fill="F7F8FA"/>
          </w:tcPr>
          <w:p>
            <w:pPr>
              <w:spacing w:after="40" w:before="40"/>
              <w:jc w:val="left"/>
            </w:pPr>
            <w:r>
              <w:rPr>
                <w:rFonts w:ascii="Times New Roman" w:hAnsi="Times New Roman" w:eastAsia="宋体"/>
                <w:sz w:val="18"/>
              </w:rPr>
              <w:t>X</w:t>
            </w:r>
          </w:p>
        </w:tc>
        <w:tc>
          <w:tcPr>
            <w:tcW w:type="dxa" w:w="3061"/>
            <w:shd w:val="clear" w:color="auto" w:fill="F7F8FA"/>
          </w:tcPr>
          <w:p>
            <w:pPr>
              <w:spacing w:after="40" w:before="40"/>
              <w:jc w:val="left"/>
            </w:pPr>
          </w:p>
        </w:tc>
      </w:tr>
    </w:tbl>
    <w:p>
      <w:pPr>
        <w:spacing w:after="80"/>
      </w:pPr>
    </w:p>
    <w:p>
      <w:pPr>
        <w:spacing w:after="120" w:line="324" w:lineRule="auto"/>
      </w:pPr>
      <w:r>
        <w:rPr>
          <w:rFonts w:ascii="Times New Roman" w:hAnsi="Times New Roman" w:eastAsia="宋体"/>
          <w:sz w:val="21"/>
        </w:rPr>
        <w:t>马来西亚、泰国、印尼、菲律宾、新加坡</w:t>
      </w:r>
      <w:r>
        <w:rPr>
          <w:rFonts w:ascii="Times New Roman" w:hAnsi="Times New Roman" w:eastAsia="宋体"/>
          <w:b/>
          <w:sz w:val="21"/>
        </w:rPr>
        <w:t>未见于所查节录的 Group D 任一列</w:t>
      </w:r>
      <w:r>
        <w:rPr>
          <w:rFonts w:ascii="Times New Roman" w:hAnsi="Times New Roman" w:eastAsia="宋体"/>
          <w:sz w:val="21"/>
        </w:rPr>
        <w:t>。</w:t>
      </w:r>
    </w:p>
    <w:p>
      <w:pPr>
        <w:spacing w:after="120" w:line="324" w:lineRule="auto"/>
      </w:pPr>
      <w:r>
        <w:rPr>
          <w:rFonts w:ascii="Times New Roman" w:hAnsi="Times New Roman" w:eastAsia="宋体"/>
          <w:b/>
          <w:sz w:val="21"/>
        </w:rPr>
        <w:t>诚实标注</w:t>
      </w:r>
      <w:r>
        <w:rPr>
          <w:rFonts w:ascii="Times New Roman" w:hAnsi="Times New Roman" w:eastAsia="宋体"/>
          <w:sz w:val="21"/>
        </w:rPr>
        <w:t xml:space="preserve">：这是"未见于所查节录"，不是"已确认不在"。模型中该状态标为 </w:t>
      </w:r>
      <w:r>
        <w:rPr>
          <w:rFonts w:ascii="Consolas" w:hAnsi="Consolas" w:eastAsia="Consolas"/>
          <w:sz w:val="20"/>
        </w:rPr>
        <w:t>unlisted_in_reviewed_excerpt</w:t>
      </w:r>
      <w:r>
        <w:rPr>
          <w:rFonts w:ascii="Times New Roman" w:hAnsi="Times New Roman" w:eastAsia="宋体"/>
          <w:sz w:val="21"/>
        </w:rPr>
        <w:t>，须由律师用完整 EAR 附录确认。</w:t>
      </w:r>
    </w:p>
    <w:p>
      <w:pPr>
        <w:pStyle w:val="Heading3"/>
        <w:keepNext/>
        <w:spacing w:before="200" w:after="120"/>
      </w:pPr>
      <w:r>
        <w:rPr>
          <w:rFonts w:ascii="Segoe UI" w:hAnsi="Segoe UI" w:eastAsia="微软雅黑"/>
          <w:b/>
          <w:color w:val="1F3B63"/>
          <w:sz w:val="25"/>
        </w:rPr>
        <w:t>S-15 柬埔寨移出 D:5</w:t>
      </w:r>
    </w:p>
    <w:p>
      <w:pPr>
        <w:spacing w:after="120" w:line="324" w:lineRule="auto"/>
      </w:pPr>
      <w:r>
        <w:rPr>
          <w:rFonts w:ascii="Times New Roman" w:hAnsi="Times New Roman" w:eastAsia="宋体"/>
          <w:sz w:val="21"/>
        </w:rPr>
        <w:t>来源：KPMG &lt;https://kpmg.com/us/en/taxnewsflash/news/2026/02/us-bis-removes-cambodia-arms-embargoed-country-list.html&gt;；Thompson Hine &lt;https://www.thompsonhinesmartrade.com/2026/02/bis-amends-the-ear-to-remove-arms-embargo-designation-on-cambodia/&gt;</w:t>
      </w:r>
    </w:p>
    <w:p>
      <w:pPr>
        <w:spacing w:after="120" w:line="324" w:lineRule="auto"/>
      </w:pPr>
      <w:r>
        <w:rPr>
          <w:rFonts w:ascii="Times New Roman" w:hAnsi="Times New Roman" w:eastAsia="宋体"/>
          <w:sz w:val="21"/>
        </w:rPr>
        <w:t>BIS 终局规则，</w:t>
      </w:r>
      <w:r>
        <w:rPr>
          <w:rFonts w:ascii="Times New Roman" w:hAnsi="Times New Roman" w:eastAsia="宋体"/>
          <w:b/>
          <w:sz w:val="21"/>
        </w:rPr>
        <w:t>生效日 2026-02-03</w:t>
      </w:r>
      <w:r>
        <w:rPr>
          <w:rFonts w:ascii="Times New Roman" w:hAnsi="Times New Roman" w:eastAsia="宋体"/>
          <w:sz w:val="21"/>
        </w:rPr>
        <w:t>，删除柬埔寨在 Country Group D:5 的 "X" 标记。原因是国务院 2025-11 依 ITAR §126.1 解除对柬军售禁运。</w:t>
      </w:r>
    </w:p>
    <w:p>
      <w:pPr>
        <w:spacing w:before="80" w:after="160"/>
        <w:ind w:left="454"/>
        <w:shd w:val="clear" w:color="auto" w:fill="F7F7F9"/>
      </w:pPr>
      <w:r>
        <w:rPr>
          <w:rFonts w:ascii="Times New Roman" w:hAnsi="Times New Roman" w:eastAsia="宋体"/>
          <w:i/>
          <w:sz w:val="20"/>
        </w:rPr>
        <w:t>Cambodia remains listed in Country Group D:1, and restrictions related to military and military-intelligence end uses and end users under sections 744.21 and 744.22 of the EAR continue to apply.</w:t>
      </w:r>
    </w:p>
    <w:p>
      <w:pPr>
        <w:spacing w:after="120" w:line="324" w:lineRule="auto"/>
      </w:pPr>
      <w:r>
        <w:rPr>
          <w:rFonts w:ascii="Times New Roman" w:hAnsi="Times New Roman" w:eastAsia="宋体"/>
          <w:b/>
          <w:sz w:val="21"/>
        </w:rPr>
        <w:t>关键性</w:t>
      </w:r>
      <w:r>
        <w:rPr>
          <w:rFonts w:ascii="Times New Roman" w:hAnsi="Times New Roman" w:eastAsia="宋体"/>
          <w:sz w:val="21"/>
        </w:rPr>
        <w:t>：柬埔寨虽已脱离 D:5，但</w:t>
      </w:r>
      <w:r>
        <w:rPr>
          <w:rFonts w:ascii="Times New Roman" w:hAnsi="Times New Roman" w:eastAsia="宋体"/>
          <w:b/>
          <w:sz w:val="21"/>
        </w:rPr>
        <w:t>仍在 D:1</w:t>
      </w:r>
      <w:r>
        <w:rPr>
          <w:rFonts w:ascii="Times New Roman" w:hAnsi="Times New Roman" w:eastAsia="宋体"/>
          <w:sz w:val="21"/>
        </w:rPr>
        <w:t>，因此在目的地层面仍被排除。缅甸成为东南亚唯一仍在 D:5 的国家。</w:t>
      </w:r>
    </w:p>
    <w:p>
      <w:pPr>
        <w:pStyle w:val="Heading3"/>
        <w:keepNext/>
        <w:spacing w:before="200" w:after="120"/>
      </w:pPr>
      <w:r>
        <w:rPr>
          <w:rFonts w:ascii="Segoe UI" w:hAnsi="Segoe UI" w:eastAsia="微软雅黑"/>
          <w:b/>
          <w:color w:val="1F3B63"/>
          <w:sz w:val="25"/>
        </w:rPr>
        <w:t>S-16 马来西亚 MITI Directive No. 1/2025</w:t>
      </w:r>
    </w:p>
    <w:p>
      <w:pPr>
        <w:spacing w:after="120" w:line="324" w:lineRule="auto"/>
      </w:pPr>
      <w:r>
        <w:rPr>
          <w:rFonts w:ascii="Times New Roman" w:hAnsi="Times New Roman" w:eastAsia="宋体"/>
          <w:sz w:val="21"/>
        </w:rPr>
        <w:t>来源：MITI 新闻稿 &lt;https://www.miti.gov.my/miti/resources/Media%20Release/%5BFINAL%5D_MITI_Press_Stmt_Malaysia_Regulates_Trade_of_US_AI_Chips_2025-07-14.pdf&gt;；行业指引全文 &lt;https://www.miti.gov.my/miti/resources/STA%20Folder/PDF%20file/[FINAL]_updated_8_Dec_INDUSTRY_GUIDELINE_IN_COMPLIANCE_TO_DIRECTIVE_OF_STRATEGIC_TRADE_CONTROLLER_NO_1_2025__ADVANCED_ARTIFICIAL_INTELLIGENCE_CHIPS.pdf&gt;；Baker McKenzie 解读 &lt;https://sanctionsnews.bakermckenzie.com/malaysia-introduces-new-export-control-directive-for-advanced-ai-chips/&gt;</w:t>
      </w:r>
    </w:p>
    <w:p>
      <w:pPr>
        <w:pStyle w:val="ListBullet"/>
        <w:spacing w:after="60" w:line="312" w:lineRule="auto"/>
        <w:ind w:left="425"/>
      </w:pPr>
      <w:r>
        <w:rPr>
          <w:rFonts w:ascii="Times New Roman" w:hAnsi="Times New Roman" w:eastAsia="宋体"/>
          <w:sz w:val="21"/>
        </w:rPr>
        <w:t xml:space="preserve">生效 </w:t>
      </w:r>
      <w:r>
        <w:rPr>
          <w:rFonts w:ascii="Times New Roman" w:hAnsi="Times New Roman" w:eastAsia="宋体"/>
          <w:b/>
          <w:sz w:val="21"/>
        </w:rPr>
        <w:t>2025-07-14</w:t>
      </w:r>
      <w:r>
        <w:rPr>
          <w:rFonts w:ascii="Times New Roman" w:hAnsi="Times New Roman" w:eastAsia="宋体"/>
          <w:sz w:val="21"/>
        </w:rPr>
        <w:t>，"will remain in force until further notice"</w:t>
      </w:r>
    </w:p>
    <w:p>
      <w:pPr>
        <w:pStyle w:val="ListBullet"/>
        <w:spacing w:after="60" w:line="312" w:lineRule="auto"/>
        <w:ind w:left="425"/>
      </w:pPr>
      <w:r>
        <w:rPr>
          <w:rFonts w:ascii="Times New Roman" w:hAnsi="Times New Roman" w:eastAsia="宋体"/>
          <w:sz w:val="21"/>
        </w:rPr>
        <w:t xml:space="preserve">覆盖行为：美国原产高性能 AI 芯片的 </w:t>
      </w:r>
      <w:r>
        <w:rPr>
          <w:rFonts w:ascii="Times New Roman" w:hAnsi="Times New Roman" w:eastAsia="宋体"/>
          <w:b/>
          <w:sz w:val="21"/>
        </w:rPr>
        <w:t>export、transshipment、transit</w:t>
      </w:r>
    </w:p>
    <w:p>
      <w:pPr>
        <w:pStyle w:val="ListBullet"/>
        <w:spacing w:after="60" w:line="312" w:lineRule="auto"/>
        <w:ind w:left="425"/>
      </w:pPr>
      <w:r>
        <w:rPr>
          <w:rFonts w:ascii="Times New Roman" w:hAnsi="Times New Roman" w:eastAsia="宋体"/>
          <w:sz w:val="21"/>
        </w:rPr>
        <w:t xml:space="preserve">提前 </w:t>
      </w:r>
      <w:r>
        <w:rPr>
          <w:rFonts w:ascii="Times New Roman" w:hAnsi="Times New Roman" w:eastAsia="宋体"/>
          <w:b/>
          <w:sz w:val="21"/>
        </w:rPr>
        <w:t>30 天</w:t>
      </w:r>
      <w:r>
        <w:rPr>
          <w:rFonts w:ascii="Times New Roman" w:hAnsi="Times New Roman" w:eastAsia="宋体"/>
          <w:sz w:val="21"/>
        </w:rPr>
        <w:t>提交 AICA 表（Annex II）至 admin.sts@miti.gov.my</w:t>
      </w:r>
    </w:p>
    <w:p>
      <w:pPr>
        <w:pStyle w:val="ListBullet"/>
        <w:spacing w:after="60" w:line="312" w:lineRule="auto"/>
        <w:ind w:left="425"/>
      </w:pPr>
      <w:r>
        <w:rPr>
          <w:rFonts w:ascii="Times New Roman" w:hAnsi="Times New Roman" w:eastAsia="宋体"/>
          <w:b/>
          <w:sz w:val="21"/>
        </w:rPr>
        <w:t>许可申请须附美国再出口许可与制造商 ECCN 分类</w:t>
      </w:r>
    </w:p>
    <w:p>
      <w:pPr>
        <w:pStyle w:val="ListBullet"/>
        <w:spacing w:after="60" w:line="312" w:lineRule="auto"/>
        <w:ind w:left="425"/>
      </w:pPr>
      <w:r>
        <w:rPr>
          <w:rFonts w:ascii="Times New Roman" w:hAnsi="Times New Roman" w:eastAsia="宋体"/>
          <w:sz w:val="21"/>
        </w:rPr>
        <w:t>2025-12-03 起，持 ICP（内部合规计划）资质者可申请多次与批量许可</w:t>
      </w:r>
    </w:p>
    <w:p>
      <w:pPr>
        <w:pStyle w:val="ListBullet"/>
        <w:spacing w:after="60" w:line="312" w:lineRule="auto"/>
        <w:ind w:left="425"/>
      </w:pPr>
      <w:r>
        <w:rPr>
          <w:rFonts w:ascii="Times New Roman" w:hAnsi="Times New Roman" w:eastAsia="宋体"/>
          <w:sz w:val="21"/>
        </w:rPr>
        <w:t>法律依据：Strategic Trade Act 2010 §12 的 catch-all 条款</w:t>
      </w:r>
    </w:p>
    <w:p>
      <w:pPr>
        <w:spacing w:after="120" w:line="324" w:lineRule="auto"/>
      </w:pPr>
      <w:r>
        <w:rPr>
          <w:rFonts w:ascii="Times New Roman" w:hAnsi="Times New Roman" w:eastAsia="宋体"/>
          <w:b/>
          <w:sz w:val="21"/>
        </w:rPr>
        <w:t>关键性两点</w:t>
      </w:r>
      <w:r>
        <w:rPr>
          <w:rFonts w:ascii="Times New Roman" w:hAnsi="Times New Roman" w:eastAsia="宋体"/>
          <w:sz w:val="21"/>
        </w:rPr>
        <w:t>：(1) 要求附美国再出口许可，等于马来西亚在</w:t>
      </w:r>
      <w:r>
        <w:rPr>
          <w:rFonts w:ascii="Times New Roman" w:hAnsi="Times New Roman" w:eastAsia="宋体"/>
          <w:b/>
          <w:sz w:val="21"/>
        </w:rPr>
        <w:t>前置执行</w:t>
      </w:r>
      <w:r>
        <w:rPr>
          <w:rFonts w:ascii="Times New Roman" w:hAnsi="Times New Roman" w:eastAsia="宋体"/>
          <w:sz w:val="21"/>
        </w:rPr>
        <w:t>美国制度，不是绕道；(2) 列举的行为</w:t>
      </w:r>
      <w:r>
        <w:rPr>
          <w:rFonts w:ascii="Times New Roman" w:hAnsi="Times New Roman" w:eastAsia="宋体"/>
          <w:b/>
          <w:sz w:val="21"/>
        </w:rPr>
        <w:t>不含"进口后在本国部署使用"</w:t>
      </w:r>
      <w:r>
        <w:rPr>
          <w:rFonts w:ascii="Times New Roman" w:hAnsi="Times New Roman" w:eastAsia="宋体"/>
          <w:sz w:val="21"/>
        </w:rPr>
        <w:t>，作为算力客户通常不是义务主体——但此定性须当地律师确认。</w:t>
      </w:r>
    </w:p>
    <w:p>
      <w:pPr>
        <w:pStyle w:val="Heading3"/>
        <w:keepNext/>
        <w:spacing w:before="200" w:after="120"/>
      </w:pPr>
      <w:r>
        <w:rPr>
          <w:rFonts w:ascii="Segoe UI" w:hAnsi="Segoe UI" w:eastAsia="微软雅黑"/>
          <w:b/>
          <w:color w:val="1F3B63"/>
          <w:sz w:val="25"/>
        </w:rPr>
        <w:t>S-17 美国对马来西亚与泰国的转运关注</w:t>
      </w:r>
    </w:p>
    <w:p>
      <w:pPr>
        <w:spacing w:after="120" w:line="324" w:lineRule="auto"/>
      </w:pPr>
      <w:r>
        <w:rPr>
          <w:rFonts w:ascii="Times New Roman" w:hAnsi="Times New Roman" w:eastAsia="宋体"/>
          <w:sz w:val="21"/>
        </w:rPr>
        <w:t>来源：Bloomberg（2025-07-04）&lt;https://www.bloomberg.com/news/articles/2025-07-04/us-plans-ai-chip-curbs-on-malaysia-thailand-over-china-concerns&gt;</w:t>
      </w:r>
    </w:p>
    <w:p>
      <w:pPr>
        <w:spacing w:before="80" w:after="160"/>
        <w:ind w:left="454"/>
        <w:shd w:val="clear" w:color="auto" w:fill="F7F7F9"/>
      </w:pPr>
      <w:r>
        <w:rPr>
          <w:rFonts w:ascii="Times New Roman" w:hAnsi="Times New Roman" w:eastAsia="宋体"/>
          <w:i/>
          <w:sz w:val="20"/>
        </w:rPr>
        <w:t>A draft rule from the Commerce Department seeks to prevent China ... from obtaining those components through intermediaries in the two Southeast Asian nations. The rule is not yet finalized and could still change.</w:t>
      </w:r>
    </w:p>
    <w:p>
      <w:pPr>
        <w:spacing w:after="120" w:line="324" w:lineRule="auto"/>
      </w:pPr>
      <w:r>
        <w:rPr>
          <w:rFonts w:ascii="Times New Roman" w:hAnsi="Times New Roman" w:eastAsia="宋体"/>
          <w:b/>
          <w:sz w:val="21"/>
        </w:rPr>
        <w:t>关键性</w:t>
      </w:r>
      <w:r>
        <w:rPr>
          <w:rFonts w:ascii="Times New Roman" w:hAnsi="Times New Roman" w:eastAsia="宋体"/>
          <w:sz w:val="21"/>
        </w:rPr>
        <w:t>：该规则截至本报告日</w:t>
      </w:r>
      <w:r>
        <w:rPr>
          <w:rFonts w:ascii="Times New Roman" w:hAnsi="Times New Roman" w:eastAsia="宋体"/>
          <w:b/>
          <w:sz w:val="21"/>
        </w:rPr>
        <w:t>未见最终定稿</w:t>
      </w:r>
      <w:r>
        <w:rPr>
          <w:rFonts w:ascii="Times New Roman" w:hAnsi="Times New Roman" w:eastAsia="宋体"/>
          <w:sz w:val="21"/>
        </w:rPr>
        <w:t>，因此不作为现行管制建模。但它证明马泰两国处于美国的关注视野，构成</w:t>
      </w:r>
      <w:r>
        <w:rPr>
          <w:rFonts w:ascii="Times New Roman" w:hAnsi="Times New Roman" w:eastAsia="宋体"/>
          <w:b/>
          <w:sz w:val="21"/>
        </w:rPr>
        <w:t>监管突变风险</w:t>
      </w:r>
      <w:r>
        <w:rPr>
          <w:rFonts w:ascii="Times New Roman" w:hAnsi="Times New Roman" w:eastAsia="宋体"/>
          <w:sz w:val="21"/>
        </w:rPr>
        <w:t>——而租约期是 36 个月。</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五、选址经济性</w:t>
      </w:r>
    </w:p>
    <w:p>
      <w:pPr>
        <w:pStyle w:val="Heading3"/>
        <w:keepNext/>
        <w:spacing w:before="200" w:after="120"/>
      </w:pPr>
      <w:r>
        <w:rPr>
          <w:rFonts w:ascii="Segoe UI" w:hAnsi="Segoe UI" w:eastAsia="微软雅黑"/>
          <w:b/>
          <w:color w:val="1F3B63"/>
          <w:sz w:val="25"/>
        </w:rPr>
        <w:t>S-18 新加坡与亚太托管价（绝对水平锚点）</w:t>
      </w:r>
    </w:p>
    <w:p>
      <w:pPr>
        <w:spacing w:after="120" w:line="324" w:lineRule="auto"/>
      </w:pPr>
      <w:r>
        <w:rPr>
          <w:rFonts w:ascii="Times New Roman" w:hAnsi="Times New Roman" w:eastAsia="宋体"/>
          <w:sz w:val="21"/>
        </w:rPr>
        <w:t>来源：CBRE《Global Data Center Trends 2026》&lt;https://www.cbre.com/insights/reports/global-data-center-trends-2026&gt;</w:t>
      </w:r>
    </w:p>
    <w:p>
      <w:pPr>
        <w:spacing w:before="80" w:after="160"/>
        <w:ind w:left="454"/>
        <w:shd w:val="clear" w:color="auto" w:fill="F7F7F9"/>
      </w:pPr>
      <w:r>
        <w:rPr>
          <w:rFonts w:ascii="Times New Roman" w:hAnsi="Times New Roman" w:eastAsia="宋体"/>
          <w:i/>
          <w:sz w:val="20"/>
        </w:rPr>
        <w:t xml:space="preserve">Singapore retained the highest pricing ($330 to $475 per kW/month) among Asia-Pacific markets. Singapore had the highest asking rents at an average of </w:t>
      </w:r>
      <w:r>
        <w:rPr>
          <w:rFonts w:ascii="Times New Roman" w:hAnsi="Times New Roman" w:eastAsia="宋体"/>
          <w:b/>
          <w:i/>
          <w:sz w:val="20"/>
        </w:rPr>
        <w:t>$403 per kW/month</w:t>
      </w:r>
      <w:r>
        <w:rPr>
          <w:rFonts w:ascii="Times New Roman" w:hAnsi="Times New Roman" w:eastAsia="宋体"/>
          <w:i/>
          <w:sz w:val="20"/>
        </w:rPr>
        <w:t>, followed by Tokyo at $280 and Sydney at $188.</w:t>
      </w:r>
    </w:p>
    <w:p>
      <w:pPr>
        <w:spacing w:after="120" w:line="324" w:lineRule="auto"/>
      </w:pPr>
      <w:r>
        <w:rPr>
          <w:rFonts w:ascii="Times New Roman" w:hAnsi="Times New Roman" w:eastAsia="宋体"/>
          <w:b/>
          <w:sz w:val="21"/>
        </w:rPr>
        <w:t>取用</w:t>
      </w:r>
      <w:r>
        <w:rPr>
          <w:rFonts w:ascii="Times New Roman" w:hAnsi="Times New Roman" w:eastAsia="宋体"/>
          <w:sz w:val="21"/>
        </w:rPr>
        <w:t>：以 $403/kW·月 作为绝对水平的权威锚点。</w:t>
      </w:r>
    </w:p>
    <w:p>
      <w:pPr>
        <w:pStyle w:val="Heading3"/>
        <w:keepNext/>
        <w:spacing w:before="200" w:after="120"/>
      </w:pPr>
      <w:r>
        <w:rPr>
          <w:rFonts w:ascii="Segoe UI" w:hAnsi="Segoe UI" w:eastAsia="微软雅黑"/>
          <w:b/>
          <w:color w:val="1F3B63"/>
          <w:sz w:val="25"/>
        </w:rPr>
        <w:t>S-23 新加坡 AI 级托管与电价</w:t>
      </w:r>
    </w:p>
    <w:p>
      <w:pPr>
        <w:spacing w:after="120" w:line="324" w:lineRule="auto"/>
      </w:pPr>
      <w:r>
        <w:rPr>
          <w:rFonts w:ascii="Times New Roman" w:hAnsi="Times New Roman" w:eastAsia="宋体"/>
          <w:sz w:val="21"/>
        </w:rPr>
        <w:t>来源：gpuleaseindex &lt;https://gpuleaseindex.com/ai-colocation/singapore&gt;</w:t>
      </w:r>
    </w:p>
    <w:p>
      <w:pPr>
        <w:pStyle w:val="ListBullet"/>
        <w:spacing w:after="60" w:line="312" w:lineRule="auto"/>
        <w:ind w:left="425"/>
      </w:pPr>
      <w:r>
        <w:rPr>
          <w:rFonts w:ascii="Times New Roman" w:hAnsi="Times New Roman" w:eastAsia="宋体"/>
          <w:sz w:val="21"/>
        </w:rPr>
        <w:t>空冷 $250/kW、</w:t>
      </w:r>
      <w:r>
        <w:rPr>
          <w:rFonts w:ascii="Times New Roman" w:hAnsi="Times New Roman" w:eastAsia="宋体"/>
          <w:b/>
          <w:sz w:val="21"/>
        </w:rPr>
        <w:t>液冷 100kW+ 档 $313/kW</w:t>
      </w:r>
    </w:p>
    <w:p>
      <w:pPr>
        <w:pStyle w:val="ListBullet"/>
        <w:spacing w:after="60" w:line="312" w:lineRule="auto"/>
        <w:ind w:left="425"/>
      </w:pPr>
      <w:r>
        <w:rPr>
          <w:rFonts w:ascii="Times New Roman" w:hAnsi="Times New Roman" w:eastAsia="宋体"/>
          <w:b/>
          <w:sz w:val="21"/>
        </w:rPr>
        <w:t>电价基准 $0.15/kWh</w:t>
      </w:r>
    </w:p>
    <w:p>
      <w:pPr>
        <w:pStyle w:val="ListBullet"/>
        <w:spacing w:after="60" w:line="312" w:lineRule="auto"/>
        <w:ind w:left="425"/>
      </w:pPr>
      <w:r>
        <w:rPr>
          <w:rFonts w:ascii="Times New Roman" w:hAnsi="Times New Roman" w:eastAsia="宋体"/>
          <w:sz w:val="21"/>
        </w:rPr>
        <w:t>市场空置率 2%（与 S-25 的 4.9% 不同，见矛盾 C-7）</w:t>
      </w:r>
    </w:p>
    <w:p>
      <w:pPr>
        <w:pStyle w:val="ListBullet"/>
        <w:spacing w:after="60" w:line="312" w:lineRule="auto"/>
        <w:ind w:left="425"/>
      </w:pPr>
      <w:r>
        <w:rPr>
          <w:rFonts w:ascii="Times New Roman" w:hAnsi="Times New Roman" w:eastAsia="宋体"/>
          <w:sz w:val="21"/>
        </w:rPr>
        <w:t>平均交付周期 18 个月以上</w:t>
      </w:r>
    </w:p>
    <w:p>
      <w:pPr>
        <w:pStyle w:val="Heading3"/>
        <w:keepNext/>
        <w:spacing w:before="200" w:after="120"/>
      </w:pPr>
      <w:r>
        <w:rPr>
          <w:rFonts w:ascii="Segoe UI" w:hAnsi="Segoe UI" w:eastAsia="微软雅黑"/>
          <w:b/>
          <w:color w:val="1F3B63"/>
          <w:sz w:val="25"/>
        </w:rPr>
        <w:t>S-24 东南亚各国托管价相对关系</w:t>
      </w:r>
    </w:p>
    <w:p>
      <w:pPr>
        <w:spacing w:after="120" w:line="324" w:lineRule="auto"/>
      </w:pPr>
      <w:r>
        <w:rPr>
          <w:rFonts w:ascii="Times New Roman" w:hAnsi="Times New Roman" w:eastAsia="宋体"/>
          <w:sz w:val="21"/>
        </w:rPr>
        <w:t>来源：simpler.cloud &lt;https://simpler.cloud/southeast-asia-s-ai-frontier-opportunities-for-cloud-computi&gt;</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color="auto" w:fill="1F3B63"/>
          </w:tcPr>
          <w:p>
            <w:pPr>
              <w:spacing w:after="40" w:before="40"/>
              <w:jc w:val="center"/>
            </w:pPr>
            <w:r>
              <w:rPr>
                <w:rFonts w:ascii="Segoe UI" w:hAnsi="Segoe UI" w:eastAsia="微软雅黑"/>
                <w:b/>
                <w:color w:val="FFFFFF"/>
                <w:sz w:val="18"/>
              </w:rPr>
              <w:t>国家</w:t>
            </w:r>
          </w:p>
        </w:tc>
        <w:tc>
          <w:tcPr>
            <w:tcW w:type="dxa" w:w="4592"/>
            <w:shd w:val="clear" w:color="auto" w:fill="1F3B63"/>
          </w:tcPr>
          <w:p>
            <w:pPr>
              <w:spacing w:after="40" w:before="40"/>
              <w:jc w:val="center"/>
            </w:pPr>
            <w:r>
              <w:rPr>
                <w:rFonts w:ascii="Segoe UI" w:hAnsi="Segoe UI" w:eastAsia="微软雅黑"/>
                <w:b/>
                <w:color w:val="FFFFFF"/>
                <w:sz w:val="18"/>
              </w:rPr>
              <w:t>典型托管成本 (USD/kW)</w:t>
            </w:r>
          </w:p>
        </w:tc>
      </w:tr>
      <w:tr>
        <w:tc>
          <w:tcPr>
            <w:tcW w:type="dxa" w:w="4592"/>
          </w:tcPr>
          <w:p>
            <w:pPr>
              <w:spacing w:after="40" w:before="40"/>
              <w:jc w:val="left"/>
            </w:pPr>
            <w:r>
              <w:rPr>
                <w:rFonts w:ascii="Times New Roman" w:hAnsi="Times New Roman" w:eastAsia="宋体"/>
                <w:sz w:val="18"/>
              </w:rPr>
              <w:t>新加坡</w:t>
            </w:r>
          </w:p>
        </w:tc>
        <w:tc>
          <w:tcPr>
            <w:tcW w:type="dxa" w:w="4592"/>
          </w:tcPr>
          <w:p>
            <w:pPr>
              <w:spacing w:after="40" w:before="40"/>
              <w:jc w:val="left"/>
            </w:pPr>
            <w:r>
              <w:rPr>
                <w:rFonts w:ascii="Times New Roman" w:hAnsi="Times New Roman" w:eastAsia="宋体"/>
                <w:sz w:val="18"/>
              </w:rPr>
              <w:t>$1,500–2,200</w:t>
            </w:r>
          </w:p>
        </w:tc>
      </w:tr>
      <w:tr>
        <w:tc>
          <w:tcPr>
            <w:tcW w:type="dxa" w:w="4592"/>
            <w:shd w:val="clear" w:color="auto" w:fill="F7F8FA"/>
          </w:tcPr>
          <w:p>
            <w:pPr>
              <w:spacing w:after="40" w:before="40"/>
              <w:jc w:val="left"/>
            </w:pPr>
            <w:r>
              <w:rPr>
                <w:rFonts w:ascii="Times New Roman" w:hAnsi="Times New Roman" w:eastAsia="宋体"/>
                <w:sz w:val="18"/>
              </w:rPr>
              <w:t>马来西亚</w:t>
            </w:r>
          </w:p>
        </w:tc>
        <w:tc>
          <w:tcPr>
            <w:tcW w:type="dxa" w:w="4592"/>
            <w:shd w:val="clear" w:color="auto" w:fill="F7F8FA"/>
          </w:tcPr>
          <w:p>
            <w:pPr>
              <w:spacing w:after="40" w:before="40"/>
              <w:jc w:val="left"/>
            </w:pPr>
            <w:r>
              <w:rPr>
                <w:rFonts w:ascii="Times New Roman" w:hAnsi="Times New Roman" w:eastAsia="宋体"/>
                <w:sz w:val="18"/>
              </w:rPr>
              <w:t>$900–1,500</w:t>
            </w:r>
          </w:p>
        </w:tc>
      </w:tr>
      <w:tr>
        <w:tc>
          <w:tcPr>
            <w:tcW w:type="dxa" w:w="4592"/>
          </w:tcPr>
          <w:p>
            <w:pPr>
              <w:spacing w:after="40" w:before="40"/>
              <w:jc w:val="left"/>
            </w:pPr>
            <w:r>
              <w:rPr>
                <w:rFonts w:ascii="Times New Roman" w:hAnsi="Times New Roman" w:eastAsia="宋体"/>
                <w:sz w:val="18"/>
              </w:rPr>
              <w:t>泰国</w:t>
            </w:r>
          </w:p>
        </w:tc>
        <w:tc>
          <w:tcPr>
            <w:tcW w:type="dxa" w:w="4592"/>
          </w:tcPr>
          <w:p>
            <w:pPr>
              <w:spacing w:after="40" w:before="40"/>
              <w:jc w:val="left"/>
            </w:pPr>
            <w:r>
              <w:rPr>
                <w:rFonts w:ascii="Times New Roman" w:hAnsi="Times New Roman" w:eastAsia="宋体"/>
                <w:sz w:val="18"/>
              </w:rPr>
              <w:t>$800–1,400</w:t>
            </w:r>
          </w:p>
        </w:tc>
      </w:tr>
      <w:tr>
        <w:tc>
          <w:tcPr>
            <w:tcW w:type="dxa" w:w="4592"/>
            <w:shd w:val="clear" w:color="auto" w:fill="F7F8FA"/>
          </w:tcPr>
          <w:p>
            <w:pPr>
              <w:spacing w:after="40" w:before="40"/>
              <w:jc w:val="left"/>
            </w:pPr>
            <w:r>
              <w:rPr>
                <w:rFonts w:ascii="Times New Roman" w:hAnsi="Times New Roman" w:eastAsia="宋体"/>
                <w:sz w:val="18"/>
              </w:rPr>
              <w:t>印尼</w:t>
            </w:r>
          </w:p>
        </w:tc>
        <w:tc>
          <w:tcPr>
            <w:tcW w:type="dxa" w:w="4592"/>
            <w:shd w:val="clear" w:color="auto" w:fill="F7F8FA"/>
          </w:tcPr>
          <w:p>
            <w:pPr>
              <w:spacing w:after="40" w:before="40"/>
              <w:jc w:val="left"/>
            </w:pPr>
            <w:r>
              <w:rPr>
                <w:rFonts w:ascii="Times New Roman" w:hAnsi="Times New Roman" w:eastAsia="宋体"/>
                <w:sz w:val="18"/>
              </w:rPr>
              <w:t>$600–1,200</w:t>
            </w:r>
          </w:p>
        </w:tc>
      </w:tr>
      <w:tr>
        <w:tc>
          <w:tcPr>
            <w:tcW w:type="dxa" w:w="4592"/>
          </w:tcPr>
          <w:p>
            <w:pPr>
              <w:spacing w:after="40" w:before="40"/>
              <w:jc w:val="left"/>
            </w:pPr>
            <w:r>
              <w:rPr>
                <w:rFonts w:ascii="Times New Roman" w:hAnsi="Times New Roman" w:eastAsia="宋体"/>
                <w:sz w:val="18"/>
              </w:rPr>
              <w:t>越南</w:t>
            </w:r>
          </w:p>
        </w:tc>
        <w:tc>
          <w:tcPr>
            <w:tcW w:type="dxa" w:w="4592"/>
          </w:tcPr>
          <w:p>
            <w:pPr>
              <w:spacing w:after="40" w:before="40"/>
              <w:jc w:val="left"/>
            </w:pPr>
            <w:r>
              <w:rPr>
                <w:rFonts w:ascii="Times New Roman" w:hAnsi="Times New Roman" w:eastAsia="宋体"/>
                <w:sz w:val="18"/>
              </w:rPr>
              <w:t>$500–1,000</w:t>
            </w:r>
          </w:p>
        </w:tc>
      </w:tr>
    </w:tbl>
    <w:p>
      <w:pPr>
        <w:spacing w:after="80"/>
      </w:pPr>
    </w:p>
    <w:p>
      <w:pPr>
        <w:spacing w:after="120" w:line="324" w:lineRule="auto"/>
      </w:pPr>
      <w:r>
        <w:rPr>
          <w:rFonts w:ascii="Times New Roman" w:hAnsi="Times New Roman" w:eastAsia="宋体"/>
          <w:b/>
          <w:sz w:val="21"/>
        </w:rPr>
        <w:t>取用方式与理由</w:t>
      </w:r>
      <w:r>
        <w:rPr>
          <w:rFonts w:ascii="Times New Roman" w:hAnsi="Times New Roman" w:eastAsia="宋体"/>
          <w:sz w:val="21"/>
        </w:rPr>
        <w:t>：该来源的</w:t>
      </w:r>
      <w:r>
        <w:rPr>
          <w:rFonts w:ascii="Times New Roman" w:hAnsi="Times New Roman" w:eastAsia="宋体"/>
          <w:b/>
          <w:sz w:val="21"/>
        </w:rPr>
        <w:t>绝对值与 CBRE 相差约 4 倍且计价口径未说明</w:t>
      </w:r>
      <w:r>
        <w:rPr>
          <w:rFonts w:ascii="Times New Roman" w:hAnsi="Times New Roman" w:eastAsia="宋体"/>
          <w:sz w:val="21"/>
        </w:rPr>
        <w:t>（不确定是月度、年度还是含其他费用），因此</w:t>
      </w:r>
      <w:r>
        <w:rPr>
          <w:rFonts w:ascii="Times New Roman" w:hAnsi="Times New Roman" w:eastAsia="宋体"/>
          <w:b/>
          <w:sz w:val="21"/>
        </w:rPr>
        <w:t>只取其相对比例，不取绝对水平</w:t>
      </w:r>
      <w:r>
        <w:rPr>
          <w:rFonts w:ascii="Times New Roman" w:hAnsi="Times New Roman" w:eastAsia="宋体"/>
          <w:sz w:val="21"/>
        </w:rPr>
        <w:t>：</w:t>
      </w:r>
    </w:p>
    <w:p>
      <w:pPr>
        <w:pStyle w:val="ListBullet"/>
        <w:spacing w:after="60" w:line="312" w:lineRule="auto"/>
        <w:ind w:left="425"/>
      </w:pPr>
      <w:r>
        <w:rPr>
          <w:rFonts w:ascii="Times New Roman" w:hAnsi="Times New Roman" w:eastAsia="宋体"/>
          <w:sz w:val="21"/>
        </w:rPr>
        <w:t xml:space="preserve">马来西亚/新加坡 = 1200/1850 = </w:t>
      </w:r>
      <w:r>
        <w:rPr>
          <w:rFonts w:ascii="Times New Roman" w:hAnsi="Times New Roman" w:eastAsia="宋体"/>
          <w:b/>
          <w:sz w:val="21"/>
        </w:rPr>
        <w:t>0.649</w:t>
      </w:r>
    </w:p>
    <w:p>
      <w:pPr>
        <w:pStyle w:val="ListBullet"/>
        <w:spacing w:after="60" w:line="312" w:lineRule="auto"/>
        <w:ind w:left="425"/>
      </w:pPr>
      <w:r>
        <w:rPr>
          <w:rFonts w:ascii="Times New Roman" w:hAnsi="Times New Roman" w:eastAsia="宋体"/>
          <w:sz w:val="21"/>
        </w:rPr>
        <w:t xml:space="preserve">泰国/新加坡 = 1100/1850 = </w:t>
      </w:r>
      <w:r>
        <w:rPr>
          <w:rFonts w:ascii="Times New Roman" w:hAnsi="Times New Roman" w:eastAsia="宋体"/>
          <w:b/>
          <w:sz w:val="21"/>
        </w:rPr>
        <w:t>0.595</w:t>
      </w:r>
    </w:p>
    <w:p>
      <w:pPr>
        <w:pStyle w:val="ListBullet"/>
        <w:spacing w:after="60" w:line="312" w:lineRule="auto"/>
        <w:ind w:left="425"/>
      </w:pPr>
      <w:r>
        <w:rPr>
          <w:rFonts w:ascii="Times New Roman" w:hAnsi="Times New Roman" w:eastAsia="宋体"/>
          <w:sz w:val="21"/>
        </w:rPr>
        <w:t xml:space="preserve">印尼/新加坡 = 900/1850 = </w:t>
      </w:r>
      <w:r>
        <w:rPr>
          <w:rFonts w:ascii="Times New Roman" w:hAnsi="Times New Roman" w:eastAsia="宋体"/>
          <w:b/>
          <w:sz w:val="21"/>
        </w:rPr>
        <w:t>0.486</w:t>
      </w:r>
    </w:p>
    <w:p>
      <w:pPr>
        <w:spacing w:after="120" w:line="324" w:lineRule="auto"/>
      </w:pPr>
      <w:r>
        <w:rPr>
          <w:rFonts w:ascii="Times New Roman" w:hAnsi="Times New Roman" w:eastAsia="宋体"/>
          <w:sz w:val="21"/>
        </w:rPr>
        <w:t xml:space="preserve">再乘以 CBRE 的 $403/kW·月 得到各国估计值。这是全模型唯一一处"用比例推绝对值"，登记为缺口 </w:t>
      </w:r>
      <w:r>
        <w:rPr>
          <w:rFonts w:ascii="Times New Roman" w:hAnsi="Times New Roman" w:eastAsia="宋体"/>
          <w:b/>
          <w:sz w:val="21"/>
        </w:rPr>
        <w:t>G-1</w:t>
      </w:r>
      <w:r>
        <w:rPr>
          <w:rFonts w:ascii="Times New Roman" w:hAnsi="Times New Roman" w:eastAsia="宋体"/>
          <w:sz w:val="21"/>
        </w:rPr>
        <w:t>，须由 RFQ 实际报价替换。菲律宾无数据。</w:t>
      </w:r>
    </w:p>
    <w:p>
      <w:pPr>
        <w:pStyle w:val="Heading3"/>
        <w:keepNext/>
        <w:spacing w:before="200" w:after="120"/>
      </w:pPr>
      <w:r>
        <w:rPr>
          <w:rFonts w:ascii="Segoe UI" w:hAnsi="Segoe UI" w:eastAsia="微软雅黑"/>
          <w:b/>
          <w:color w:val="1F3B63"/>
          <w:sz w:val="25"/>
        </w:rPr>
        <w:t>S-25 各市场空置率与马来西亚电价</w:t>
      </w:r>
    </w:p>
    <w:p>
      <w:pPr>
        <w:spacing w:after="120" w:line="324" w:lineRule="auto"/>
      </w:pPr>
      <w:r>
        <w:rPr>
          <w:rFonts w:ascii="Times New Roman" w:hAnsi="Times New Roman" w:eastAsia="宋体"/>
          <w:sz w:val="21"/>
        </w:rPr>
        <w:t>来源：TNGlobal（2026-07-31）&lt;https://technode.global/2026/07/31/singapore-tightens-data-center-growth-as-johor-bangkok-jakarta-race-ahead/&gt;</w:t>
      </w:r>
    </w:p>
    <w:p>
      <w:pPr>
        <w:spacing w:before="80" w:after="160"/>
        <w:ind w:left="454"/>
        <w:shd w:val="clear" w:color="auto" w:fill="F7F7F9"/>
      </w:pPr>
      <w:r>
        <w:rPr>
          <w:rFonts w:ascii="Times New Roman" w:hAnsi="Times New Roman" w:eastAsia="宋体"/>
          <w:i/>
          <w:sz w:val="20"/>
        </w:rPr>
        <w:t xml:space="preserve">Johor's colocation vacancy rate stands at just </w:t>
      </w:r>
      <w:r>
        <w:rPr>
          <w:rFonts w:ascii="Times New Roman" w:hAnsi="Times New Roman" w:eastAsia="宋体"/>
          <w:b/>
          <w:i/>
          <w:sz w:val="20"/>
        </w:rPr>
        <w:t>0.7 percent</w:t>
      </w:r>
      <w:r>
        <w:rPr>
          <w:rFonts w:ascii="Times New Roman" w:hAnsi="Times New Roman" w:eastAsia="宋体"/>
          <w:i/>
          <w:sz w:val="20"/>
        </w:rPr>
        <w:t xml:space="preserve">, compared with </w:t>
      </w:r>
      <w:r>
        <w:rPr>
          <w:rFonts w:ascii="Times New Roman" w:hAnsi="Times New Roman" w:eastAsia="宋体"/>
          <w:b/>
          <w:i/>
          <w:sz w:val="20"/>
        </w:rPr>
        <w:t>4.9 percent</w:t>
      </w:r>
      <w:r>
        <w:rPr>
          <w:rFonts w:ascii="Times New Roman" w:hAnsi="Times New Roman" w:eastAsia="宋体"/>
          <w:i/>
          <w:sz w:val="20"/>
        </w:rPr>
        <w:t xml:space="preserve"> in Singapore, </w:t>
      </w:r>
      <w:r>
        <w:rPr>
          <w:rFonts w:ascii="Times New Roman" w:hAnsi="Times New Roman" w:eastAsia="宋体"/>
          <w:b/>
          <w:i/>
          <w:sz w:val="20"/>
        </w:rPr>
        <w:t>20.5 percent</w:t>
      </w:r>
      <w:r>
        <w:rPr>
          <w:rFonts w:ascii="Times New Roman" w:hAnsi="Times New Roman" w:eastAsia="宋体"/>
          <w:i/>
          <w:sz w:val="20"/>
        </w:rPr>
        <w:t xml:space="preserve"> in Jakarta and </w:t>
      </w:r>
      <w:r>
        <w:rPr>
          <w:rFonts w:ascii="Times New Roman" w:hAnsi="Times New Roman" w:eastAsia="宋体"/>
          <w:b/>
          <w:i/>
          <w:sz w:val="20"/>
        </w:rPr>
        <w:t>23.3 percent</w:t>
      </w:r>
      <w:r>
        <w:rPr>
          <w:rFonts w:ascii="Times New Roman" w:hAnsi="Times New Roman" w:eastAsia="宋体"/>
          <w:i/>
          <w:sz w:val="20"/>
        </w:rPr>
        <w:t xml:space="preserve"> in Bangkok.</w:t>
      </w:r>
    </w:p>
    <w:p>
      <w:pPr>
        <w:spacing w:before="80" w:after="160"/>
        <w:ind w:left="454"/>
        <w:shd w:val="clear" w:color="auto" w:fill="F7F7F9"/>
      </w:pPr>
      <w:r>
        <w:rPr>
          <w:rFonts w:ascii="Times New Roman" w:hAnsi="Times New Roman" w:eastAsia="宋体"/>
          <w:i/>
          <w:sz w:val="20"/>
        </w:rPr>
        <w:t xml:space="preserve">Large power users such as data centers now typically fall under Ultra High Voltage time-of-use tariffs, where electricity charges range between </w:t>
      </w:r>
      <w:r>
        <w:rPr>
          <w:rFonts w:ascii="Times New Roman" w:hAnsi="Times New Roman" w:eastAsia="宋体"/>
          <w:b/>
          <w:i/>
          <w:sz w:val="20"/>
        </w:rPr>
        <w:t>51.09 sen ($0.12)</w:t>
      </w:r>
      <w:r>
        <w:rPr>
          <w:rFonts w:ascii="Times New Roman" w:hAnsi="Times New Roman" w:eastAsia="宋体"/>
          <w:i/>
          <w:sz w:val="20"/>
        </w:rPr>
        <w:t xml:space="preserve"> and </w:t>
      </w:r>
      <w:r>
        <w:rPr>
          <w:rFonts w:ascii="Times New Roman" w:hAnsi="Times New Roman" w:eastAsia="宋体"/>
          <w:b/>
          <w:i/>
          <w:sz w:val="20"/>
        </w:rPr>
        <w:t>55.18 sen</w:t>
      </w:r>
      <w:r>
        <w:rPr>
          <w:rFonts w:ascii="Times New Roman" w:hAnsi="Times New Roman" w:eastAsia="宋体"/>
          <w:i/>
          <w:sz w:val="20"/>
        </w:rPr>
        <w:t xml:space="preserve"> per kilowatt-hour, in addition to capacity and network charges.</w:t>
      </w:r>
    </w:p>
    <w:p>
      <w:pPr>
        <w:spacing w:before="80" w:after="160"/>
        <w:ind w:left="454"/>
        <w:shd w:val="clear" w:color="auto" w:fill="F7F7F9"/>
      </w:pPr>
      <w:r>
        <w:rPr>
          <w:rFonts w:ascii="Times New Roman" w:hAnsi="Times New Roman" w:eastAsia="宋体"/>
          <w:i/>
          <w:sz w:val="20"/>
        </w:rPr>
        <w:t>Malaysia revised its industrial electricity tariff structure last July under the Incentive-Based Regulation framework, raising base electricity rates.</w:t>
      </w:r>
    </w:p>
    <w:p>
      <w:pPr>
        <w:spacing w:after="120" w:line="324" w:lineRule="auto"/>
      </w:pPr>
      <w:r>
        <w:rPr>
          <w:rFonts w:ascii="Times New Roman" w:hAnsi="Times New Roman" w:eastAsia="宋体"/>
          <w:sz w:val="21"/>
        </w:rPr>
        <w:t>补充来源 &lt;https://malaysia4u.com/data-centres-guide&gt;：RP4 平均基准电价自 2025-07-01 起由约 39.95 sen 上调至 45.62 sen（涨约 14%）；2025-11 柔佛因干旱要求投资者推迟水冷扩建约 18 个月。</w:t>
      </w:r>
    </w:p>
    <w:p>
      <w:pPr>
        <w:spacing w:after="120" w:line="324" w:lineRule="auto"/>
      </w:pPr>
      <w:r>
        <w:rPr>
          <w:rFonts w:ascii="Times New Roman" w:hAnsi="Times New Roman" w:eastAsia="宋体"/>
          <w:b/>
          <w:sz w:val="21"/>
        </w:rPr>
        <w:t>取用</w:t>
      </w:r>
      <w:r>
        <w:rPr>
          <w:rFonts w:ascii="Times New Roman" w:hAnsi="Times New Roman" w:eastAsia="宋体"/>
          <w:sz w:val="21"/>
        </w:rPr>
        <w:t xml:space="preserve">：马来西亚电价 </w:t>
      </w:r>
      <w:r>
        <w:rPr>
          <w:rFonts w:ascii="Times New Roman" w:hAnsi="Times New Roman" w:eastAsia="宋体"/>
          <w:b/>
          <w:sz w:val="21"/>
        </w:rPr>
        <w:t>$0.120–0.130/kWh</w:t>
      </w:r>
      <w:r>
        <w:rPr>
          <w:rFonts w:ascii="Times New Roman" w:hAnsi="Times New Roman" w:eastAsia="宋体"/>
          <w:sz w:val="21"/>
        </w:rPr>
        <w:t>（上沿由来源自身的换算隐含汇率 MYR/USD 4.2575 折算 55.18 sen 得到）。</w:t>
      </w:r>
    </w:p>
    <w:p>
      <w:pPr>
        <w:pStyle w:val="Heading3"/>
        <w:keepNext/>
        <w:spacing w:before="200" w:after="120"/>
      </w:pPr>
      <w:r>
        <w:rPr>
          <w:rFonts w:ascii="Segoe UI" w:hAnsi="Segoe UI" w:eastAsia="微软雅黑"/>
          <w:b/>
          <w:color w:val="1F3B63"/>
          <w:sz w:val="25"/>
        </w:rPr>
        <w:t>S-26 / S-27 网络延迟</w:t>
      </w:r>
    </w:p>
    <w:p>
      <w:pPr>
        <w:spacing w:after="120" w:line="324" w:lineRule="auto"/>
      </w:pPr>
      <w:r>
        <w:rPr>
          <w:rFonts w:ascii="Times New Roman" w:hAnsi="Times New Roman" w:eastAsia="宋体"/>
          <w:sz w:val="21"/>
        </w:rPr>
        <w:t>S-26 来源：Keppel &lt;https://www.keppel.com/media/bifrost-cable-system-achieves-ready-for-service-status-primed-for-trans-pacific-connectivity/&gt;</w:t>
      </w:r>
    </w:p>
    <w:p>
      <w:pPr>
        <w:spacing w:before="80" w:after="160"/>
        <w:ind w:left="454"/>
        <w:shd w:val="clear" w:color="auto" w:fill="F7F7F9"/>
      </w:pPr>
      <w:r>
        <w:rPr>
          <w:rFonts w:ascii="Times New Roman" w:hAnsi="Times New Roman" w:eastAsia="宋体"/>
          <w:i/>
          <w:sz w:val="20"/>
        </w:rPr>
        <w:t xml:space="preserve">offering a round-trip latency of just under </w:t>
      </w:r>
      <w:r>
        <w:rPr>
          <w:rFonts w:ascii="Times New Roman" w:hAnsi="Times New Roman" w:eastAsia="宋体"/>
          <w:b/>
          <w:i/>
          <w:sz w:val="20"/>
        </w:rPr>
        <w:t>165 milliseconds</w:t>
      </w:r>
      <w:r>
        <w:rPr>
          <w:rFonts w:ascii="Times New Roman" w:hAnsi="Times New Roman" w:eastAsia="宋体"/>
          <w:i/>
          <w:sz w:val="20"/>
        </w:rPr>
        <w:t xml:space="preserve"> between Singapore and the USA—up to 10 milliseconds faster than many existing systems.</w:t>
      </w:r>
    </w:p>
    <w:p>
      <w:pPr>
        <w:spacing w:after="120" w:line="324" w:lineRule="auto"/>
      </w:pPr>
      <w:r>
        <w:rPr>
          <w:rFonts w:ascii="Times New Roman" w:hAnsi="Times New Roman" w:eastAsia="宋体"/>
          <w:sz w:val="21"/>
        </w:rPr>
        <w:t>Bifrost 2025 年投入服务，新增 260+ Tbps 容量，分支延伸至雅加达、万鸦老（印尼）、达沃（菲律宾）。</w:t>
      </w:r>
    </w:p>
    <w:p>
      <w:pPr>
        <w:spacing w:after="120" w:line="324" w:lineRule="auto"/>
      </w:pPr>
      <w:r>
        <w:rPr>
          <w:rFonts w:ascii="Times New Roman" w:hAnsi="Times New Roman" w:eastAsia="宋体"/>
          <w:sz w:val="21"/>
        </w:rPr>
        <w:t>S-27 来源：Check-Host 节点参考 &lt;https://check-host.cc/mtr/singapore&gt;、&lt;https://check-host.cc/mtr/indonesia&gt;</w:t>
      </w:r>
    </w:p>
    <w:p>
      <w:pPr>
        <w:pStyle w:val="ListBullet"/>
        <w:spacing w:after="60" w:line="312" w:lineRule="auto"/>
        <w:ind w:left="425"/>
      </w:pPr>
      <w:r>
        <w:rPr>
          <w:rFonts w:ascii="Times New Roman" w:hAnsi="Times New Roman" w:eastAsia="宋体"/>
          <w:sz w:val="21"/>
        </w:rPr>
        <w:t xml:space="preserve">新加坡→法兰克福 </w:t>
      </w:r>
      <w:r>
        <w:rPr>
          <w:rFonts w:ascii="Times New Roman" w:hAnsi="Times New Roman" w:eastAsia="宋体"/>
          <w:b/>
          <w:sz w:val="21"/>
        </w:rPr>
        <w:t>约 170 ms</w:t>
      </w:r>
      <w:r>
        <w:rPr>
          <w:rFonts w:ascii="Times New Roman" w:hAnsi="Times New Roman" w:eastAsia="宋体"/>
          <w:sz w:val="21"/>
        </w:rPr>
        <w:t>；→香港约 30 ms；→东京约 65–70 ms；→悉尼约 85 ms</w:t>
      </w:r>
    </w:p>
    <w:p>
      <w:pPr>
        <w:pStyle w:val="ListBullet"/>
        <w:spacing w:after="60" w:line="312" w:lineRule="auto"/>
        <w:ind w:left="425"/>
      </w:pPr>
      <w:r>
        <w:rPr>
          <w:rFonts w:ascii="Times New Roman" w:hAnsi="Times New Roman" w:eastAsia="宋体"/>
          <w:sz w:val="21"/>
        </w:rPr>
        <w:t xml:space="preserve">雅加达→新加坡 </w:t>
      </w:r>
      <w:r>
        <w:rPr>
          <w:rFonts w:ascii="Times New Roman" w:hAnsi="Times New Roman" w:eastAsia="宋体"/>
          <w:b/>
          <w:sz w:val="21"/>
        </w:rPr>
        <w:t>约 15 ms</w:t>
      </w:r>
      <w:r>
        <w:rPr>
          <w:rFonts w:ascii="Times New Roman" w:hAnsi="Times New Roman" w:eastAsia="宋体"/>
          <w:sz w:val="21"/>
        </w:rPr>
        <w:t xml:space="preserve">；吉隆坡→新加坡 </w:t>
      </w:r>
      <w:r>
        <w:rPr>
          <w:rFonts w:ascii="Times New Roman" w:hAnsi="Times New Roman" w:eastAsia="宋体"/>
          <w:b/>
          <w:sz w:val="21"/>
        </w:rPr>
        <w:t>约 15 ms</w:t>
      </w:r>
      <w:r>
        <w:rPr>
          <w:rFonts w:ascii="Times New Roman" w:hAnsi="Times New Roman" w:eastAsia="宋体"/>
          <w:sz w:val="21"/>
        </w:rPr>
        <w:t xml:space="preserve">；曼谷→新加坡 </w:t>
      </w:r>
      <w:r>
        <w:rPr>
          <w:rFonts w:ascii="Times New Roman" w:hAnsi="Times New Roman" w:eastAsia="宋体"/>
          <w:b/>
          <w:sz w:val="21"/>
        </w:rPr>
        <w:t>约 35 ms</w:t>
      </w:r>
    </w:p>
    <w:p>
      <w:pPr>
        <w:pStyle w:val="ListBullet"/>
        <w:spacing w:after="60" w:line="312" w:lineRule="auto"/>
        <w:ind w:left="425"/>
      </w:pPr>
      <w:r>
        <w:rPr>
          <w:rFonts w:ascii="Times New Roman" w:hAnsi="Times New Roman" w:eastAsia="宋体"/>
          <w:sz w:val="21"/>
        </w:rPr>
        <w:t>东南亚国际出口普遍经新加坡</w:t>
      </w:r>
    </w:p>
    <w:p>
      <w:pPr>
        <w:spacing w:after="120" w:line="324" w:lineRule="auto"/>
      </w:pPr>
      <w:r>
        <w:rPr>
          <w:rFonts w:ascii="Times New Roman" w:hAnsi="Times New Roman" w:eastAsia="宋体"/>
          <w:b/>
          <w:sz w:val="21"/>
        </w:rPr>
        <w:t>马尼拉无数据</w:t>
      </w:r>
      <w:r>
        <w:rPr>
          <w:rFonts w:ascii="Times New Roman" w:hAnsi="Times New Roman" w:eastAsia="宋体"/>
          <w:sz w:val="21"/>
        </w:rPr>
        <w:t>，登记为缺口 G-3。</w:t>
      </w:r>
    </w:p>
    <w:p>
      <w:pPr>
        <w:pStyle w:val="Heading3"/>
        <w:keepNext/>
        <w:spacing w:before="200" w:after="120"/>
      </w:pPr>
      <w:r>
        <w:rPr>
          <w:rFonts w:ascii="Segoe UI" w:hAnsi="Segoe UI" w:eastAsia="微软雅黑"/>
          <w:b/>
          <w:color w:val="1F3B63"/>
          <w:sz w:val="25"/>
        </w:rPr>
        <w:t>S-28 各国税制</w:t>
      </w:r>
    </w:p>
    <w:p>
      <w:pPr>
        <w:spacing w:after="120" w:line="324" w:lineRule="auto"/>
      </w:pPr>
      <w:r>
        <w:rPr>
          <w:rFonts w:ascii="Times New Roman" w:hAnsi="Times New Roman" w:eastAsia="宋体"/>
          <w:sz w:val="21"/>
        </w:rPr>
        <w:t>来源：Grant Thornton《ASEAN 6 Tax Guide 2026》&lt;https://www.grantthornton.com.my/globalassets/1.-member-firms/malaysia/publications/tax-2026/asean-tax-guide-2026_.pdf&gt;</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color="auto" w:fill="1F3B63"/>
          </w:tcPr>
          <w:p>
            <w:pPr>
              <w:spacing w:after="40" w:before="40"/>
              <w:jc w:val="center"/>
            </w:pPr>
            <w:r>
              <w:rPr>
                <w:rFonts w:ascii="Segoe UI" w:hAnsi="Segoe UI" w:eastAsia="微软雅黑"/>
                <w:b/>
                <w:color w:val="FFFFFF"/>
                <w:sz w:val="18"/>
              </w:rPr>
              <w:t>国家</w:t>
            </w:r>
          </w:p>
        </w:tc>
        <w:tc>
          <w:tcPr>
            <w:tcW w:type="dxa" w:w="3061"/>
            <w:shd w:val="clear" w:color="auto" w:fill="1F3B63"/>
          </w:tcPr>
          <w:p>
            <w:pPr>
              <w:spacing w:after="40" w:before="40"/>
              <w:jc w:val="center"/>
            </w:pPr>
            <w:r>
              <w:rPr>
                <w:rFonts w:ascii="Segoe UI" w:hAnsi="Segoe UI" w:eastAsia="微软雅黑"/>
                <w:b/>
                <w:color w:val="FFFFFF"/>
                <w:sz w:val="18"/>
              </w:rPr>
              <w:t>标准企业所得税</w:t>
            </w:r>
          </w:p>
        </w:tc>
        <w:tc>
          <w:tcPr>
            <w:tcW w:type="dxa" w:w="3061"/>
            <w:shd w:val="clear" w:color="auto" w:fill="1F3B63"/>
          </w:tcPr>
          <w:p>
            <w:pPr>
              <w:spacing w:after="40" w:before="40"/>
              <w:jc w:val="center"/>
            </w:pPr>
            <w:r>
              <w:rPr>
                <w:rFonts w:ascii="Segoe UI" w:hAnsi="Segoe UI" w:eastAsia="微软雅黑"/>
                <w:b/>
                <w:color w:val="FFFFFF"/>
                <w:sz w:val="18"/>
              </w:rPr>
              <w:t>标准 VAT/GST</w:t>
            </w:r>
          </w:p>
        </w:tc>
      </w:tr>
      <w:tr>
        <w:tc>
          <w:tcPr>
            <w:tcW w:type="dxa" w:w="3061"/>
          </w:tcPr>
          <w:p>
            <w:pPr>
              <w:spacing w:after="40" w:before="40"/>
              <w:jc w:val="left"/>
            </w:pPr>
            <w:r>
              <w:rPr>
                <w:rFonts w:ascii="Times New Roman" w:hAnsi="Times New Roman" w:eastAsia="宋体"/>
                <w:sz w:val="18"/>
              </w:rPr>
              <w:t>新加坡</w:t>
            </w:r>
          </w:p>
        </w:tc>
        <w:tc>
          <w:tcPr>
            <w:tcW w:type="dxa" w:w="3061"/>
          </w:tcPr>
          <w:p>
            <w:pPr>
              <w:spacing w:after="40" w:before="40"/>
              <w:jc w:val="left"/>
            </w:pPr>
            <w:r>
              <w:rPr>
                <w:rFonts w:ascii="Times New Roman" w:hAnsi="Times New Roman" w:eastAsia="宋体"/>
                <w:sz w:val="18"/>
              </w:rPr>
              <w:t>17%</w:t>
            </w:r>
          </w:p>
        </w:tc>
        <w:tc>
          <w:tcPr>
            <w:tcW w:type="dxa" w:w="3061"/>
          </w:tcPr>
          <w:p>
            <w:pPr>
              <w:spacing w:after="40" w:before="40"/>
              <w:jc w:val="left"/>
            </w:pPr>
            <w:r>
              <w:rPr>
                <w:rFonts w:ascii="Times New Roman" w:hAnsi="Times New Roman" w:eastAsia="宋体"/>
                <w:sz w:val="18"/>
              </w:rPr>
              <w:t>9%</w:t>
            </w:r>
          </w:p>
        </w:tc>
      </w:tr>
      <w:tr>
        <w:tc>
          <w:tcPr>
            <w:tcW w:type="dxa" w:w="3061"/>
            <w:shd w:val="clear" w:color="auto" w:fill="F7F8FA"/>
          </w:tcPr>
          <w:p>
            <w:pPr>
              <w:spacing w:after="40" w:before="40"/>
              <w:jc w:val="left"/>
            </w:pPr>
            <w:r>
              <w:rPr>
                <w:rFonts w:ascii="Times New Roman" w:hAnsi="Times New Roman" w:eastAsia="宋体"/>
                <w:sz w:val="18"/>
              </w:rPr>
              <w:t>泰国</w:t>
            </w:r>
          </w:p>
        </w:tc>
        <w:tc>
          <w:tcPr>
            <w:tcW w:type="dxa" w:w="3061"/>
            <w:shd w:val="clear" w:color="auto" w:fill="F7F8FA"/>
          </w:tcPr>
          <w:p>
            <w:pPr>
              <w:spacing w:after="40" w:before="40"/>
              <w:jc w:val="left"/>
            </w:pPr>
            <w:r>
              <w:rPr>
                <w:rFonts w:ascii="Times New Roman" w:hAnsi="Times New Roman" w:eastAsia="宋体"/>
                <w:sz w:val="18"/>
              </w:rPr>
              <w:t>20%</w:t>
            </w:r>
          </w:p>
        </w:tc>
        <w:tc>
          <w:tcPr>
            <w:tcW w:type="dxa" w:w="3061"/>
            <w:shd w:val="clear" w:color="auto" w:fill="F7F8FA"/>
          </w:tcPr>
          <w:p>
            <w:pPr>
              <w:spacing w:after="40" w:before="40"/>
              <w:jc w:val="left"/>
            </w:pPr>
            <w:r>
              <w:rPr>
                <w:rFonts w:ascii="Times New Roman" w:hAnsi="Times New Roman" w:eastAsia="宋体"/>
                <w:sz w:val="18"/>
              </w:rPr>
              <w:t>7%</w:t>
            </w:r>
          </w:p>
        </w:tc>
      </w:tr>
      <w:tr>
        <w:tc>
          <w:tcPr>
            <w:tcW w:type="dxa" w:w="3061"/>
          </w:tcPr>
          <w:p>
            <w:pPr>
              <w:spacing w:after="40" w:before="40"/>
              <w:jc w:val="left"/>
            </w:pPr>
            <w:r>
              <w:rPr>
                <w:rFonts w:ascii="Times New Roman" w:hAnsi="Times New Roman" w:eastAsia="宋体"/>
                <w:sz w:val="18"/>
              </w:rPr>
              <w:t>印尼</w:t>
            </w:r>
          </w:p>
        </w:tc>
        <w:tc>
          <w:tcPr>
            <w:tcW w:type="dxa" w:w="3061"/>
          </w:tcPr>
          <w:p>
            <w:pPr>
              <w:spacing w:after="40" w:before="40"/>
              <w:jc w:val="left"/>
            </w:pPr>
            <w:r>
              <w:rPr>
                <w:rFonts w:ascii="Times New Roman" w:hAnsi="Times New Roman" w:eastAsia="宋体"/>
                <w:sz w:val="18"/>
              </w:rPr>
              <w:t>22%</w:t>
            </w:r>
          </w:p>
        </w:tc>
        <w:tc>
          <w:tcPr>
            <w:tcW w:type="dxa" w:w="3061"/>
          </w:tcPr>
          <w:p>
            <w:pPr>
              <w:spacing w:after="40" w:before="40"/>
              <w:jc w:val="left"/>
            </w:pPr>
            <w:r>
              <w:rPr>
                <w:rFonts w:ascii="Times New Roman" w:hAnsi="Times New Roman" w:eastAsia="宋体"/>
                <w:sz w:val="18"/>
              </w:rPr>
              <w:t>11%</w:t>
            </w:r>
          </w:p>
        </w:tc>
      </w:tr>
      <w:tr>
        <w:tc>
          <w:tcPr>
            <w:tcW w:type="dxa" w:w="3061"/>
            <w:shd w:val="clear" w:color="auto" w:fill="F7F8FA"/>
          </w:tcPr>
          <w:p>
            <w:pPr>
              <w:spacing w:after="40" w:before="40"/>
              <w:jc w:val="left"/>
            </w:pPr>
            <w:r>
              <w:rPr>
                <w:rFonts w:ascii="Times New Roman" w:hAnsi="Times New Roman" w:eastAsia="宋体"/>
                <w:sz w:val="18"/>
              </w:rPr>
              <w:t>马来西亚</w:t>
            </w:r>
          </w:p>
        </w:tc>
        <w:tc>
          <w:tcPr>
            <w:tcW w:type="dxa" w:w="3061"/>
            <w:shd w:val="clear" w:color="auto" w:fill="F7F8FA"/>
          </w:tcPr>
          <w:p>
            <w:pPr>
              <w:spacing w:after="40" w:before="40"/>
              <w:jc w:val="left"/>
            </w:pPr>
            <w:r>
              <w:rPr>
                <w:rFonts w:ascii="Times New Roman" w:hAnsi="Times New Roman" w:eastAsia="宋体"/>
                <w:sz w:val="18"/>
              </w:rPr>
              <w:t>24%</w:t>
            </w:r>
          </w:p>
        </w:tc>
        <w:tc>
          <w:tcPr>
            <w:tcW w:type="dxa" w:w="3061"/>
            <w:shd w:val="clear" w:color="auto" w:fill="F7F8FA"/>
          </w:tcPr>
          <w:p>
            <w:pPr>
              <w:spacing w:after="40" w:before="40"/>
              <w:jc w:val="left"/>
            </w:pPr>
            <w:r>
              <w:rPr>
                <w:rFonts w:ascii="Times New Roman" w:hAnsi="Times New Roman" w:eastAsia="宋体"/>
                <w:sz w:val="18"/>
              </w:rPr>
              <w:t>销售税 10%／服务税 8%</w:t>
            </w:r>
          </w:p>
        </w:tc>
      </w:tr>
      <w:tr>
        <w:tc>
          <w:tcPr>
            <w:tcW w:type="dxa" w:w="3061"/>
          </w:tcPr>
          <w:p>
            <w:pPr>
              <w:spacing w:after="40" w:before="40"/>
              <w:jc w:val="left"/>
            </w:pPr>
            <w:r>
              <w:rPr>
                <w:rFonts w:ascii="Times New Roman" w:hAnsi="Times New Roman" w:eastAsia="宋体"/>
                <w:sz w:val="18"/>
              </w:rPr>
              <w:t>菲律宾</w:t>
            </w:r>
          </w:p>
        </w:tc>
        <w:tc>
          <w:tcPr>
            <w:tcW w:type="dxa" w:w="3061"/>
          </w:tcPr>
          <w:p>
            <w:pPr>
              <w:spacing w:after="40" w:before="40"/>
              <w:jc w:val="left"/>
            </w:pPr>
            <w:r>
              <w:rPr>
                <w:rFonts w:ascii="Times New Roman" w:hAnsi="Times New Roman" w:eastAsia="宋体"/>
                <w:sz w:val="18"/>
              </w:rPr>
              <w:t>25%</w:t>
            </w:r>
          </w:p>
        </w:tc>
        <w:tc>
          <w:tcPr>
            <w:tcW w:type="dxa" w:w="3061"/>
          </w:tcPr>
          <w:p>
            <w:pPr>
              <w:spacing w:after="40" w:before="40"/>
              <w:jc w:val="left"/>
            </w:pPr>
            <w:r>
              <w:rPr>
                <w:rFonts w:ascii="Times New Roman" w:hAnsi="Times New Roman" w:eastAsia="宋体"/>
                <w:sz w:val="18"/>
              </w:rPr>
              <w:t>12%</w:t>
            </w:r>
          </w:p>
        </w:tc>
      </w:tr>
      <w:tr>
        <w:tc>
          <w:tcPr>
            <w:tcW w:type="dxa" w:w="3061"/>
            <w:shd w:val="clear" w:color="auto" w:fill="F7F8FA"/>
          </w:tcPr>
          <w:p>
            <w:pPr>
              <w:spacing w:after="40" w:before="40"/>
              <w:jc w:val="left"/>
            </w:pPr>
            <w:r>
              <w:rPr>
                <w:rFonts w:ascii="Times New Roman" w:hAnsi="Times New Roman" w:eastAsia="宋体"/>
                <w:sz w:val="18"/>
              </w:rPr>
              <w:t>越南</w:t>
            </w:r>
          </w:p>
        </w:tc>
        <w:tc>
          <w:tcPr>
            <w:tcW w:type="dxa" w:w="3061"/>
            <w:shd w:val="clear" w:color="auto" w:fill="F7F8FA"/>
          </w:tcPr>
          <w:p>
            <w:pPr>
              <w:spacing w:after="40" w:before="40"/>
              <w:jc w:val="left"/>
            </w:pPr>
            <w:r>
              <w:rPr>
                <w:rFonts w:ascii="Times New Roman" w:hAnsi="Times New Roman" w:eastAsia="宋体"/>
                <w:sz w:val="18"/>
              </w:rPr>
              <w:t>20%</w:t>
            </w:r>
          </w:p>
        </w:tc>
        <w:tc>
          <w:tcPr>
            <w:tcW w:type="dxa" w:w="3061"/>
            <w:shd w:val="clear" w:color="auto" w:fill="F7F8FA"/>
          </w:tcPr>
          <w:p>
            <w:pPr>
              <w:spacing w:after="40" w:before="40"/>
              <w:jc w:val="left"/>
            </w:pPr>
            <w:r>
              <w:rPr>
                <w:rFonts w:ascii="Times New Roman" w:hAnsi="Times New Roman" w:eastAsia="宋体"/>
                <w:sz w:val="18"/>
              </w:rPr>
              <w:t>10%</w:t>
            </w:r>
          </w:p>
        </w:tc>
      </w:tr>
    </w:tbl>
    <w:p>
      <w:pPr>
        <w:spacing w:after="80"/>
      </w:pPr>
    </w:p>
    <w:p>
      <w:pPr>
        <w:spacing w:after="120" w:line="324" w:lineRule="auto"/>
      </w:pPr>
      <w:r>
        <w:rPr>
          <w:rFonts w:ascii="Times New Roman" w:hAnsi="Times New Roman" w:eastAsia="宋体"/>
          <w:sz w:val="21"/>
        </w:rPr>
        <w:t>出口服务的消费税处理：新加坡零税率且可抵进项；马来西亚"service tax is not chargeable on services where the subject matter is outside of Malaysia"；菲律宾出口适用 0% VAT。泰国与印尼未核实。</w:t>
      </w:r>
    </w:p>
    <w:p>
      <w:pPr>
        <w:spacing w:after="120" w:line="324" w:lineRule="auto"/>
      </w:pPr>
      <w:r>
        <w:rPr>
          <w:rFonts w:ascii="Times New Roman" w:hAnsi="Times New Roman" w:eastAsia="宋体"/>
          <w:sz w:val="21"/>
        </w:rPr>
        <w:t xml:space="preserve">马来西亚对实缴资本 ≤RM250 万的公司设有优惠税率档（首 RM150,000 与 RM150,001–600,000 两档），但来源表格在该处截断，具体税率未取得——登记为缺口 </w:t>
      </w:r>
      <w:r>
        <w:rPr>
          <w:rFonts w:ascii="Times New Roman" w:hAnsi="Times New Roman" w:eastAsia="宋体"/>
          <w:b/>
          <w:sz w:val="21"/>
        </w:rPr>
        <w:t>G-5</w:t>
      </w:r>
      <w:r>
        <w:rPr>
          <w:rFonts w:ascii="Times New Roman" w:hAnsi="Times New Roman" w:eastAsia="宋体"/>
          <w:sz w:val="21"/>
        </w:rPr>
        <w:t>，模型一律按 24% 计，偏保守。</w:t>
      </w:r>
    </w:p>
    <w:p>
      <w:pPr>
        <w:pStyle w:val="Heading3"/>
        <w:keepNext/>
        <w:spacing w:before="200" w:after="120"/>
      </w:pPr>
      <w:r>
        <w:rPr>
          <w:rFonts w:ascii="Segoe UI" w:hAnsi="Segoe UI" w:eastAsia="微软雅黑"/>
          <w:b/>
          <w:color w:val="1F3B63"/>
          <w:sz w:val="25"/>
        </w:rPr>
        <w:t>S-29 新加坡新创税务减免</w:t>
      </w:r>
    </w:p>
    <w:p>
      <w:pPr>
        <w:spacing w:after="120" w:line="324" w:lineRule="auto"/>
      </w:pPr>
      <w:r>
        <w:rPr>
          <w:rFonts w:ascii="Times New Roman" w:hAnsi="Times New Roman" w:eastAsia="宋体"/>
          <w:sz w:val="21"/>
        </w:rPr>
        <w:t>来源：IRAS &lt;https://www.iras.gov.sg/taxes/corporate-income-tax/basics-of-corporate-income-tax/corporate-income-tax-rate-rebates-and-tax-exemption-schemes&gt;；PwC &lt;https://taxsummaries.pwc.com/singapore/corporate/taxes-on-corporate-income&gt;</w:t>
      </w:r>
    </w:p>
    <w:p>
      <w:pPr>
        <w:pStyle w:val="ListBullet"/>
        <w:spacing w:after="60" w:line="312" w:lineRule="auto"/>
        <w:ind w:left="425"/>
      </w:pPr>
      <w:r>
        <w:rPr>
          <w:rFonts w:ascii="Times New Roman" w:hAnsi="Times New Roman" w:eastAsia="宋体"/>
          <w:b/>
          <w:sz w:val="21"/>
        </w:rPr>
        <w:t>新创企业免税（SUTE）</w:t>
      </w:r>
      <w:r>
        <w:rPr>
          <w:rFonts w:ascii="Times New Roman" w:hAnsi="Times New Roman" w:eastAsia="宋体"/>
          <w:sz w:val="21"/>
        </w:rPr>
        <w:t>：首 3 个评估年，首 S$100,000 免 75%、次 S$100,000 免 50%</w:t>
      </w:r>
    </w:p>
    <w:p>
      <w:pPr>
        <w:pStyle w:val="ListBullet"/>
        <w:spacing w:after="60" w:line="312" w:lineRule="auto"/>
        <w:ind w:left="425"/>
      </w:pPr>
      <w:r>
        <w:rPr>
          <w:rFonts w:ascii="Times New Roman" w:hAnsi="Times New Roman" w:eastAsia="宋体"/>
          <w:b/>
          <w:sz w:val="21"/>
        </w:rPr>
        <w:t>部分免税（PTE）</w:t>
      </w:r>
      <w:r>
        <w:rPr>
          <w:rFonts w:ascii="Times New Roman" w:hAnsi="Times New Roman" w:eastAsia="宋体"/>
          <w:sz w:val="21"/>
        </w:rPr>
        <w:t>：第 4 年起，首 S$10,000 免 75%、次 S$190,000 免 50%</w:t>
      </w:r>
    </w:p>
    <w:p>
      <w:pPr>
        <w:pStyle w:val="ListBullet"/>
        <w:spacing w:after="60" w:line="312" w:lineRule="auto"/>
        <w:ind w:left="425"/>
      </w:pPr>
      <w:r>
        <w:rPr>
          <w:rFonts w:ascii="Times New Roman" w:hAnsi="Times New Roman" w:eastAsia="宋体"/>
          <w:b/>
          <w:sz w:val="21"/>
        </w:rPr>
        <w:t>YA2026 税额回扣</w:t>
      </w:r>
      <w:r>
        <w:rPr>
          <w:rFonts w:ascii="Times New Roman" w:hAnsi="Times New Roman" w:eastAsia="宋体"/>
          <w:sz w:val="21"/>
        </w:rPr>
        <w:t>：50%，上限 S$40,000（若同时领 S$2,000 现金补助则上限 S$38,000）</w:t>
      </w:r>
    </w:p>
    <w:p>
      <w:pPr>
        <w:pStyle w:val="ListBullet"/>
        <w:spacing w:after="60" w:line="312" w:lineRule="auto"/>
        <w:ind w:left="425"/>
      </w:pPr>
      <w:r>
        <w:rPr>
          <w:rFonts w:ascii="Times New Roman" w:hAnsi="Times New Roman" w:eastAsia="宋体"/>
          <w:sz w:val="21"/>
        </w:rPr>
        <w:t>资格条件：新加坡注册、税务居民、≤20 名股东且至少 1 名个人股东持股 ≥10%</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六、租金参照</w:t>
      </w:r>
    </w:p>
    <w:p>
      <w:pPr>
        <w:pStyle w:val="Heading3"/>
        <w:keepNext/>
        <w:spacing w:before="200" w:after="120"/>
      </w:pPr>
      <w:r>
        <w:rPr>
          <w:rFonts w:ascii="Segoe UI" w:hAnsi="Segoe UI" w:eastAsia="微软雅黑"/>
          <w:b/>
          <w:color w:val="1F3B63"/>
          <w:sz w:val="25"/>
        </w:rPr>
        <w:t>S-30 Bit Origin 马来西亚交易（核心可比交易）</w:t>
      </w:r>
    </w:p>
    <w:p>
      <w:pPr>
        <w:spacing w:after="120" w:line="324" w:lineRule="auto"/>
      </w:pPr>
      <w:r>
        <w:rPr>
          <w:rFonts w:ascii="Times New Roman" w:hAnsi="Times New Roman" w:eastAsia="宋体"/>
          <w:sz w:val="21"/>
        </w:rPr>
        <w:t>来源：HostingJournalist &lt;https://hostingjournalist.com/news/bit-origin-buys-11m-b300-servers-for-malaysia-ai-deployment&gt;；The Datatech Times &lt;https://datatech.disruptsmedia.com/ai-ml/bit-origin-buys-11m-nvidia-blackwell-b300-kit-malaysia-deployment&gt;</w:t>
      </w:r>
    </w:p>
    <w:p>
      <w:pPr>
        <w:spacing w:after="120" w:line="324" w:lineRule="auto"/>
      </w:pPr>
      <w:r>
        <w:rPr>
          <w:rFonts w:ascii="Times New Roman" w:hAnsi="Times New Roman" w:eastAsia="宋体"/>
          <w:sz w:val="21"/>
        </w:rPr>
        <w:t>Bit Origin（NASDAQ: BTOG）2026-06-29 公告：</w:t>
      </w:r>
    </w:p>
    <w:p>
      <w:pPr>
        <w:spacing w:before="80" w:after="160"/>
        <w:ind w:left="454"/>
        <w:shd w:val="clear" w:color="auto" w:fill="F7F7F9"/>
      </w:pPr>
      <w:r>
        <w:rPr>
          <w:rFonts w:ascii="Times New Roman" w:hAnsi="Times New Roman" w:eastAsia="宋体"/>
          <w:i/>
          <w:sz w:val="20"/>
        </w:rPr>
        <w:t xml:space="preserve">acquired approximately US$11 million of Nvidia Blackwell B300 AI server infrastructure ... The deal comprises </w:t>
      </w:r>
      <w:r>
        <w:rPr>
          <w:rFonts w:ascii="Times New Roman" w:hAnsi="Times New Roman" w:eastAsia="宋体"/>
          <w:b/>
          <w:i/>
          <w:sz w:val="20"/>
        </w:rPr>
        <w:t>16 B300 servers</w:t>
      </w:r>
      <w:r>
        <w:rPr>
          <w:rFonts w:ascii="Times New Roman" w:hAnsi="Times New Roman" w:eastAsia="宋体"/>
          <w:i/>
          <w:sz w:val="20"/>
        </w:rPr>
        <w:t xml:space="preserve">, already purchased by the seller and expected to be delivered during the third quarter of 2026. Upon delivery, the hardware will be deployed at a data centre facility in </w:t>
      </w:r>
      <w:r>
        <w:rPr>
          <w:rFonts w:ascii="Times New Roman" w:hAnsi="Times New Roman" w:eastAsia="宋体"/>
          <w:b/>
          <w:i/>
          <w:sz w:val="20"/>
        </w:rPr>
        <w:t>Malaysia</w:t>
      </w:r>
      <w:r>
        <w:rPr>
          <w:rFonts w:ascii="Times New Roman" w:hAnsi="Times New Roman" w:eastAsia="宋体"/>
          <w:i/>
          <w:sz w:val="20"/>
        </w:rPr>
        <w:t xml:space="preserve"> under pre-existing hosting arrangements.</w:t>
      </w:r>
    </w:p>
    <w:p>
      <w:pPr>
        <w:spacing w:before="80" w:after="160"/>
        <w:ind w:left="454"/>
        <w:shd w:val="clear" w:color="auto" w:fill="F7F7F9"/>
      </w:pPr>
      <w:r>
        <w:rPr>
          <w:rFonts w:ascii="Times New Roman" w:hAnsi="Times New Roman" w:eastAsia="宋体"/>
          <w:i/>
          <w:sz w:val="20"/>
        </w:rPr>
        <w:t xml:space="preserve">The customer revenue, projected at about </w:t>
      </w:r>
      <w:r>
        <w:rPr>
          <w:rFonts w:ascii="Times New Roman" w:hAnsi="Times New Roman" w:eastAsia="宋体"/>
          <w:b/>
          <w:i/>
          <w:sz w:val="20"/>
        </w:rPr>
        <w:t>$360,000 per month before operating expenses</w:t>
      </w:r>
      <w:r>
        <w:rPr>
          <w:rFonts w:ascii="Times New Roman" w:hAnsi="Times New Roman" w:eastAsia="宋体"/>
          <w:i/>
          <w:sz w:val="20"/>
        </w:rPr>
        <w:t>, depends on that sequence holding.</w:t>
      </w:r>
    </w:p>
    <w:p>
      <w:pPr>
        <w:spacing w:after="120" w:line="324" w:lineRule="auto"/>
      </w:pPr>
      <w:r>
        <w:rPr>
          <w:rFonts w:ascii="Times New Roman" w:hAnsi="Times New Roman" w:eastAsia="宋体"/>
          <w:b/>
          <w:sz w:val="21"/>
        </w:rPr>
        <w:t>本报告的反解</w:t>
      </w:r>
      <w:r>
        <w:rPr>
          <w:rFonts w:ascii="Times New Roman" w:hAnsi="Times New Roman" w:eastAsia="宋体"/>
          <w:sz w:val="21"/>
        </w:rPr>
        <w:t>：</w:t>
      </w:r>
    </w:p>
    <w:p>
      <w:pPr>
        <w:pStyle w:val="ListBullet"/>
        <w:spacing w:after="60" w:line="312" w:lineRule="auto"/>
        <w:ind w:left="425"/>
      </w:pPr>
      <w:r>
        <w:rPr>
          <w:rFonts w:ascii="Times New Roman" w:hAnsi="Times New Roman" w:eastAsia="宋体"/>
          <w:sz w:val="21"/>
        </w:rPr>
        <w:t xml:space="preserve">每台每月租金 = $360,000 ÷ 16 = </w:t>
      </w:r>
      <w:r>
        <w:rPr>
          <w:rFonts w:ascii="Times New Roman" w:hAnsi="Times New Roman" w:eastAsia="宋体"/>
          <w:b/>
          <w:sz w:val="21"/>
        </w:rPr>
        <w:t>$22,500</w:t>
      </w:r>
    </w:p>
    <w:p>
      <w:pPr>
        <w:pStyle w:val="ListBullet"/>
        <w:spacing w:after="60" w:line="312" w:lineRule="auto"/>
        <w:ind w:left="425"/>
      </w:pPr>
      <w:r>
        <w:rPr>
          <w:rFonts w:ascii="Times New Roman" w:hAnsi="Times New Roman" w:eastAsia="宋体"/>
          <w:sz w:val="21"/>
        </w:rPr>
        <w:t xml:space="preserve">每台硬件单价 = $11,000,000 ÷ 16 = </w:t>
      </w:r>
      <w:r>
        <w:rPr>
          <w:rFonts w:ascii="Times New Roman" w:hAnsi="Times New Roman" w:eastAsia="宋体"/>
          <w:b/>
          <w:sz w:val="21"/>
        </w:rPr>
        <w:t>$687,500</w:t>
      </w:r>
    </w:p>
    <w:p>
      <w:pPr>
        <w:pStyle w:val="ListBullet"/>
        <w:spacing w:after="60" w:line="312" w:lineRule="auto"/>
        <w:ind w:left="425"/>
      </w:pPr>
      <w:r>
        <w:rPr>
          <w:rFonts w:ascii="Times New Roman" w:hAnsi="Times New Roman" w:eastAsia="宋体"/>
          <w:sz w:val="21"/>
        </w:rPr>
        <w:t xml:space="preserve">硬件毛收益率 = $22,500 × 12 ÷ $687,500 = </w:t>
      </w:r>
      <w:r>
        <w:rPr>
          <w:rFonts w:ascii="Times New Roman" w:hAnsi="Times New Roman" w:eastAsia="宋体"/>
          <w:b/>
          <w:sz w:val="21"/>
        </w:rPr>
        <w:t>39.3%/年</w:t>
      </w:r>
      <w:r>
        <w:rPr>
          <w:rFonts w:ascii="Times New Roman" w:hAnsi="Times New Roman" w:eastAsia="宋体"/>
          <w:sz w:val="21"/>
        </w:rPr>
        <w:t xml:space="preserve">，收回硬件成本需 </w:t>
      </w:r>
      <w:r>
        <w:rPr>
          <w:rFonts w:ascii="Times New Roman" w:hAnsi="Times New Roman" w:eastAsia="宋体"/>
          <w:b/>
          <w:sz w:val="21"/>
        </w:rPr>
        <w:t>30.6 个月</w:t>
      </w:r>
    </w:p>
    <w:p>
      <w:pPr>
        <w:spacing w:after="120" w:line="324" w:lineRule="auto"/>
      </w:pPr>
      <w:r>
        <w:rPr>
          <w:rFonts w:ascii="Times New Roman" w:hAnsi="Times New Roman" w:eastAsia="宋体"/>
          <w:b/>
          <w:sz w:val="21"/>
        </w:rPr>
        <w:t>关键性</w:t>
      </w:r>
      <w:r>
        <w:rPr>
          <w:rFonts w:ascii="Times New Roman" w:hAnsi="Times New Roman" w:eastAsia="宋体"/>
          <w:sz w:val="21"/>
        </w:rPr>
        <w:t>：这是本报告最重要的一条新增信源。它把"¥150,000/月 是什么水平的价"从推测变成了可对照的事实——</w:t>
      </w:r>
      <w:r>
        <w:rPr>
          <w:rFonts w:ascii="Times New Roman" w:hAnsi="Times New Roman" w:eastAsia="宋体"/>
          <w:b/>
          <w:sz w:val="21"/>
        </w:rPr>
        <w:t>偏差仅 −1.84%</w:t>
      </w:r>
      <w:r>
        <w:rPr>
          <w:rFonts w:ascii="Times New Roman" w:hAnsi="Times New Roman" w:eastAsia="宋体"/>
          <w:sz w:val="21"/>
        </w:rPr>
        <w:t>。</w:t>
      </w:r>
    </w:p>
    <w:p>
      <w:pPr>
        <w:spacing w:after="120" w:line="324" w:lineRule="auto"/>
      </w:pPr>
      <w:r>
        <w:rPr>
          <w:rFonts w:ascii="Times New Roman" w:hAnsi="Times New Roman" w:eastAsia="宋体"/>
          <w:b/>
          <w:sz w:val="21"/>
        </w:rPr>
        <w:t>局限</w:t>
      </w:r>
      <w:r>
        <w:rPr>
          <w:rFonts w:ascii="Times New Roman" w:hAnsi="Times New Roman" w:eastAsia="宋体"/>
          <w:sz w:val="21"/>
        </w:rPr>
        <w:t>：$360,000 是公司的</w:t>
      </w:r>
      <w:r>
        <w:rPr>
          <w:rFonts w:ascii="Times New Roman" w:hAnsi="Times New Roman" w:eastAsia="宋体"/>
          <w:b/>
          <w:sz w:val="21"/>
        </w:rPr>
        <w:t>预期</w:t>
      </w:r>
      <w:r>
        <w:rPr>
          <w:rFonts w:ascii="Times New Roman" w:hAnsi="Times New Roman" w:eastAsia="宋体"/>
          <w:sz w:val="21"/>
        </w:rPr>
        <w:t>而非已实现收入，且公告本身标注为前瞻性陈述。文中亦称 "16 B300 servers" 未明确每台卡数，本报告按行业惯例假定为 8 卡整机。</w:t>
      </w:r>
    </w:p>
    <w:p>
      <w:pPr>
        <w:pStyle w:val="Heading3"/>
        <w:keepNext/>
        <w:spacing w:before="200" w:after="120"/>
      </w:pPr>
      <w:r>
        <w:rPr>
          <w:rFonts w:ascii="Segoe UI" w:hAnsi="Segoe UI" w:eastAsia="微软雅黑"/>
          <w:b/>
          <w:color w:val="1F3B63"/>
          <w:sz w:val="25"/>
        </w:rPr>
        <w:t>S-31 / S-32 硬件成本与第三方挂牌价</w:t>
      </w:r>
    </w:p>
    <w:p>
      <w:pPr>
        <w:spacing w:after="120" w:line="324" w:lineRule="auto"/>
      </w:pPr>
      <w:r>
        <w:rPr>
          <w:rFonts w:ascii="Times New Roman" w:hAnsi="Times New Roman" w:eastAsia="宋体"/>
          <w:sz w:val="21"/>
        </w:rPr>
        <w:t xml:space="preserve">S-31 来源：Spheron &lt;https://www.spheron.network/gpu-rental/b300/&gt;——8 卡 HGX B300 整机取得成本 </w:t>
      </w:r>
      <w:r>
        <w:rPr>
          <w:rFonts w:ascii="Times New Roman" w:hAnsi="Times New Roman" w:eastAsia="宋体"/>
          <w:b/>
          <w:sz w:val="21"/>
        </w:rPr>
        <w:t>$400,000–600,000</w:t>
      </w:r>
      <w:r>
        <w:rPr>
          <w:rFonts w:ascii="Times New Roman" w:hAnsi="Times New Roman" w:eastAsia="宋体"/>
          <w:sz w:val="21"/>
        </w:rPr>
        <w:t>。另有来源称约 $300,000 起（narenvadapalli.com），本报告取 Spheron 区间，偏保守。</w:t>
      </w:r>
    </w:p>
    <w:p>
      <w:pPr>
        <w:spacing w:after="120" w:line="324" w:lineRule="auto"/>
      </w:pPr>
      <w:r>
        <w:rPr>
          <w:rFonts w:ascii="Times New Roman" w:hAnsi="Times New Roman" w:eastAsia="宋体"/>
          <w:sz w:val="21"/>
        </w:rPr>
        <w:t xml:space="preserve">S-32 来源：Qubrid &lt;https://www.qubrid.com/bare-metal-gpu-servers&gt;——"NVIDIA B300 288GB 8-GPU Bare Metal Server ... Yearly Price </w:t>
      </w:r>
      <w:r>
        <w:rPr>
          <w:rFonts w:ascii="Times New Roman" w:hAnsi="Times New Roman" w:eastAsia="宋体"/>
          <w:b/>
          <w:sz w:val="21"/>
        </w:rPr>
        <w:t>$389,400</w:t>
      </w:r>
      <w:r>
        <w:rPr>
          <w:rFonts w:ascii="Times New Roman" w:hAnsi="Times New Roman" w:eastAsia="宋体"/>
          <w:sz w:val="21"/>
        </w:rPr>
        <w:t xml:space="preserve">"，折合每月 </w:t>
      </w:r>
      <w:r>
        <w:rPr>
          <w:rFonts w:ascii="Times New Roman" w:hAnsi="Times New Roman" w:eastAsia="宋体"/>
          <w:b/>
          <w:sz w:val="21"/>
        </w:rPr>
        <w:t>$32,450</w:t>
      </w:r>
      <w:r>
        <w:rPr>
          <w:rFonts w:ascii="Times New Roman" w:hAnsi="Times New Roman" w:eastAsia="宋体"/>
          <w:sz w:val="21"/>
        </w:rPr>
        <w:t>（美国）。</w:t>
      </w:r>
    </w:p>
    <w:p>
      <w:pPr>
        <w:pStyle w:val="Heading3"/>
        <w:keepNext/>
        <w:spacing w:before="200" w:after="120"/>
      </w:pPr>
      <w:r>
        <w:rPr>
          <w:rFonts w:ascii="Segoe UI" w:hAnsi="Segoe UI" w:eastAsia="微软雅黑"/>
          <w:b/>
          <w:color w:val="1F3B63"/>
          <w:sz w:val="25"/>
        </w:rPr>
        <w:t>S-33 中国境内租金多源</w:t>
      </w:r>
    </w:p>
    <w:p>
      <w:pPr>
        <w:spacing w:after="120" w:line="324" w:lineRule="auto"/>
      </w:pPr>
      <w:r>
        <w:rPr>
          <w:rFonts w:ascii="Times New Roman" w:hAnsi="Times New Roman" w:eastAsia="宋体"/>
          <w:sz w:val="21"/>
        </w:rPr>
        <w:t xml:space="preserve">来源：姊妹报告 </w:t>
      </w:r>
      <w:r>
        <w:rPr>
          <w:rFonts w:ascii="Times New Roman" w:hAnsi="Times New Roman" w:eastAsia="宋体"/>
          <w:sz w:val="21"/>
        </w:rPr>
        <w:t>`../b300-kimi-k3/sources.md`</w:t>
      </w:r>
      <w:r>
        <w:rPr>
          <w:rFonts w:ascii="Times New Roman" w:hAnsi="Times New Roman" w:eastAsia="宋体"/>
          <w:color w:val="606060"/>
          <w:sz w:val="18"/>
        </w:rPr>
        <w:t>（../b300-kimi-k3/sources.md）</w:t>
      </w:r>
      <w:r>
        <w:rPr>
          <w:rFonts w:ascii="Times New Roman" w:hAnsi="Times New Roman" w:eastAsia="宋体"/>
          <w:sz w:val="21"/>
        </w:rPr>
        <w:t xml:space="preserve"> 的 S-10。</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color="auto" w:fill="1F3B63"/>
          </w:tcPr>
          <w:p>
            <w:pPr>
              <w:spacing w:after="40" w:before="40"/>
              <w:jc w:val="center"/>
            </w:pPr>
            <w:r>
              <w:rPr>
                <w:rFonts w:ascii="Segoe UI" w:hAnsi="Segoe UI" w:eastAsia="微软雅黑"/>
                <w:b/>
                <w:color w:val="FFFFFF"/>
                <w:sz w:val="18"/>
              </w:rPr>
              <w:t>来源</w:t>
            </w:r>
          </w:p>
        </w:tc>
        <w:tc>
          <w:tcPr>
            <w:tcW w:type="dxa" w:w="4592"/>
            <w:shd w:val="clear" w:color="auto" w:fill="1F3B63"/>
          </w:tcPr>
          <w:p>
            <w:pPr>
              <w:spacing w:after="40" w:before="40"/>
              <w:jc w:val="center"/>
            </w:pPr>
            <w:r>
              <w:rPr>
                <w:rFonts w:ascii="Segoe UI" w:hAnsi="Segoe UI" w:eastAsia="微软雅黑"/>
                <w:b/>
                <w:color w:val="FFFFFF"/>
                <w:sz w:val="18"/>
              </w:rPr>
              <w:t>报价（元/月）</w:t>
            </w:r>
          </w:p>
        </w:tc>
      </w:tr>
      <w:tr>
        <w:tc>
          <w:tcPr>
            <w:tcW w:type="dxa" w:w="4592"/>
          </w:tcPr>
          <w:p>
            <w:pPr>
              <w:spacing w:after="40" w:before="40"/>
              <w:jc w:val="left"/>
            </w:pPr>
            <w:r>
              <w:rPr>
                <w:rFonts w:ascii="Times New Roman" w:hAnsi="Times New Roman" w:eastAsia="宋体"/>
                <w:sz w:val="18"/>
              </w:rPr>
              <w:t>星宇智算 3 年长协</w:t>
            </w:r>
          </w:p>
        </w:tc>
        <w:tc>
          <w:tcPr>
            <w:tcW w:type="dxa" w:w="4592"/>
          </w:tcPr>
          <w:p>
            <w:pPr>
              <w:spacing w:after="40" w:before="40"/>
              <w:jc w:val="right"/>
            </w:pPr>
            <w:r>
              <w:rPr>
                <w:rFonts w:ascii="Times New Roman" w:hAnsi="Times New Roman" w:eastAsia="宋体"/>
                <w:sz w:val="18"/>
              </w:rPr>
              <w:t>108,000</w:t>
            </w:r>
          </w:p>
        </w:tc>
      </w:tr>
      <w:tr>
        <w:tc>
          <w:tcPr>
            <w:tcW w:type="dxa" w:w="4592"/>
            <w:shd w:val="clear" w:color="auto" w:fill="F7F8FA"/>
          </w:tcPr>
          <w:p>
            <w:pPr>
              <w:spacing w:after="40" w:before="40"/>
              <w:jc w:val="left"/>
            </w:pPr>
            <w:r>
              <w:rPr>
                <w:rFonts w:ascii="Times New Roman" w:hAnsi="Times New Roman" w:eastAsia="宋体"/>
                <w:sz w:val="18"/>
              </w:rPr>
              <w:t>雪球产业调研（长单）</w:t>
            </w:r>
          </w:p>
        </w:tc>
        <w:tc>
          <w:tcPr>
            <w:tcW w:type="dxa" w:w="4592"/>
            <w:shd w:val="clear" w:color="auto" w:fill="F7F8FA"/>
          </w:tcPr>
          <w:p>
            <w:pPr>
              <w:spacing w:after="40" w:before="40"/>
              <w:jc w:val="right"/>
            </w:pPr>
            <w:r>
              <w:rPr>
                <w:rFonts w:ascii="Times New Roman" w:hAnsi="Times New Roman" w:eastAsia="宋体"/>
                <w:b/>
                <w:sz w:val="18"/>
              </w:rPr>
              <w:t>150,000</w:t>
            </w:r>
          </w:p>
        </w:tc>
      </w:tr>
      <w:tr>
        <w:tc>
          <w:tcPr>
            <w:tcW w:type="dxa" w:w="4592"/>
          </w:tcPr>
          <w:p>
            <w:pPr>
              <w:spacing w:after="40" w:before="40"/>
              <w:jc w:val="left"/>
            </w:pPr>
            <w:r>
              <w:rPr>
                <w:rFonts w:ascii="Times New Roman" w:hAnsi="Times New Roman" w:eastAsia="宋体"/>
                <w:sz w:val="18"/>
              </w:rPr>
              <w:t>至顶网（现货中位）</w:t>
            </w:r>
          </w:p>
        </w:tc>
        <w:tc>
          <w:tcPr>
            <w:tcW w:type="dxa" w:w="4592"/>
          </w:tcPr>
          <w:p>
            <w:pPr>
              <w:spacing w:after="40" w:before="40"/>
              <w:jc w:val="right"/>
            </w:pPr>
            <w:r>
              <w:rPr>
                <w:rFonts w:ascii="Times New Roman" w:hAnsi="Times New Roman" w:eastAsia="宋体"/>
                <w:sz w:val="18"/>
              </w:rPr>
              <w:t>190,000</w:t>
            </w:r>
          </w:p>
        </w:tc>
      </w:tr>
      <w:tr>
        <w:tc>
          <w:tcPr>
            <w:tcW w:type="dxa" w:w="4592"/>
            <w:shd w:val="clear" w:color="auto" w:fill="F7F8FA"/>
          </w:tcPr>
          <w:p>
            <w:pPr>
              <w:spacing w:after="40" w:before="40"/>
              <w:jc w:val="left"/>
            </w:pPr>
            <w:r>
              <w:rPr>
                <w:rFonts w:ascii="Times New Roman" w:hAnsi="Times New Roman" w:eastAsia="宋体"/>
                <w:sz w:val="18"/>
              </w:rPr>
              <w:t>悍铭数据中心（现货高配）</w:t>
            </w:r>
          </w:p>
        </w:tc>
        <w:tc>
          <w:tcPr>
            <w:tcW w:type="dxa" w:w="4592"/>
            <w:shd w:val="clear" w:color="auto" w:fill="F7F8FA"/>
          </w:tcPr>
          <w:p>
            <w:pPr>
              <w:spacing w:after="40" w:before="40"/>
              <w:jc w:val="right"/>
            </w:pPr>
            <w:r>
              <w:rPr>
                <w:rFonts w:ascii="Times New Roman" w:hAnsi="Times New Roman" w:eastAsia="宋体"/>
                <w:sz w:val="18"/>
              </w:rPr>
              <w:t>265,000</w:t>
            </w:r>
          </w:p>
        </w:tc>
      </w:tr>
    </w:tbl>
    <w:p>
      <w:pPr>
        <w:spacing w:after="80"/>
      </w:pPr>
    </w:p>
    <w:p>
      <w:pPr>
        <w:spacing w:after="120" w:line="324" w:lineRule="auto"/>
      </w:pPr>
      <w:r>
        <w:rPr>
          <w:rFonts w:ascii="Times New Roman" w:hAnsi="Times New Roman" w:eastAsia="宋体"/>
          <w:b/>
          <w:sz w:val="21"/>
        </w:rPr>
        <w:t>关键性</w:t>
      </w:r>
      <w:r>
        <w:rPr>
          <w:rFonts w:ascii="Times New Roman" w:hAnsi="Times New Roman" w:eastAsia="宋体"/>
          <w:sz w:val="21"/>
        </w:rPr>
        <w:t xml:space="preserve">：本项目的 ¥150,000 </w:t>
      </w:r>
      <w:r>
        <w:rPr>
          <w:rFonts w:ascii="Times New Roman" w:hAnsi="Times New Roman" w:eastAsia="宋体"/>
          <w:b/>
          <w:sz w:val="21"/>
        </w:rPr>
        <w:t>恰好等于中国境内的"长单"价位</w:t>
      </w:r>
      <w:r>
        <w:rPr>
          <w:rFonts w:ascii="Times New Roman" w:hAnsi="Times New Roman" w:eastAsia="宋体"/>
          <w:sz w:val="21"/>
        </w:rPr>
        <w:t>，同时也约等于马来西亚市价（$22,500 ≈ ¥152,813）。三个市场收敛到同一价位，这本身增强了该价位的可信度。</w:t>
      </w:r>
    </w:p>
    <w:p>
      <w:pPr>
        <w:pStyle w:val="Heading3"/>
        <w:keepNext/>
        <w:spacing w:before="200" w:after="120"/>
      </w:pPr>
      <w:r>
        <w:rPr>
          <w:rFonts w:ascii="Segoe UI" w:hAnsi="Segoe UI" w:eastAsia="微软雅黑"/>
          <w:b/>
          <w:color w:val="1F3B63"/>
          <w:sz w:val="25"/>
        </w:rPr>
        <w:t>S-20 汇率</w:t>
      </w:r>
    </w:p>
    <w:p>
      <w:pPr>
        <w:spacing w:after="120" w:line="324" w:lineRule="auto"/>
      </w:pPr>
      <w:r>
        <w:rPr>
          <w:rFonts w:ascii="Times New Roman" w:hAnsi="Times New Roman" w:eastAsia="宋体"/>
          <w:sz w:val="21"/>
        </w:rPr>
        <w:t>来源：中国外汇交易中心 &lt;https://www.chinamoney.com.cn/chinese/bkccpr/&gt;；USD/SGD 来自 &lt;https://exa.ai/library/markets/forex/USDSGD&gt;</w:t>
      </w:r>
    </w:p>
    <w:p>
      <w:pPr>
        <w:pStyle w:val="ListBullet"/>
        <w:spacing w:after="60" w:line="312" w:lineRule="auto"/>
        <w:ind w:left="425"/>
      </w:pPr>
      <w:r>
        <w:rPr>
          <w:rFonts w:ascii="Times New Roman" w:hAnsi="Times New Roman" w:eastAsia="宋体"/>
          <w:b/>
          <w:sz w:val="21"/>
        </w:rPr>
        <w:t>1 USD = 6.7917 CNY</w:t>
      </w:r>
      <w:r>
        <w:rPr>
          <w:rFonts w:ascii="Times New Roman" w:hAnsi="Times New Roman" w:eastAsia="宋体"/>
          <w:sz w:val="21"/>
        </w:rPr>
        <w:t>（2026-08-04 中间价）。市场即期约 6.749，用中间价更稳健。</w:t>
      </w:r>
    </w:p>
    <w:p>
      <w:pPr>
        <w:pStyle w:val="ListBullet"/>
        <w:spacing w:after="60" w:line="312" w:lineRule="auto"/>
        <w:ind w:left="425"/>
      </w:pPr>
      <w:r>
        <w:rPr>
          <w:rFonts w:ascii="Times New Roman" w:hAnsi="Times New Roman" w:eastAsia="宋体"/>
          <w:b/>
          <w:sz w:val="21"/>
        </w:rPr>
        <w:t>1 USD = 1.2819 SGD</w:t>
      </w:r>
      <w:r>
        <w:rPr>
          <w:rFonts w:ascii="Times New Roman" w:hAnsi="Times New Roman" w:eastAsia="宋体"/>
          <w:sz w:val="21"/>
        </w:rPr>
        <w:t>（2026-08-03）</w:t>
      </w:r>
    </w:p>
    <w:p>
      <w:pPr>
        <w:spacing w:after="120" w:line="324" w:lineRule="auto"/>
      </w:pPr>
      <w:r>
        <w:rPr>
          <w:rFonts w:ascii="Times New Roman" w:hAnsi="Times New Roman" w:eastAsia="宋体"/>
          <w:b/>
          <w:sz w:val="21"/>
        </w:rPr>
        <w:t>关键性</w:t>
      </w:r>
      <w:r>
        <w:rPr>
          <w:rFonts w:ascii="Times New Roman" w:hAnsi="Times New Roman" w:eastAsia="宋体"/>
          <w:sz w:val="21"/>
        </w:rPr>
        <w:t>：收入以美元计价、租金以人民币计价。当前 6.7917 显著低于市场惯用的 7.1–7.3 假设，沿用旧汇率会</w:t>
      </w:r>
      <w:r>
        <w:rPr>
          <w:rFonts w:ascii="Times New Roman" w:hAnsi="Times New Roman" w:eastAsia="宋体"/>
          <w:b/>
          <w:sz w:val="21"/>
        </w:rPr>
        <w:t>高估人民币收入约 4.5%</w:t>
      </w:r>
      <w:r>
        <w:rPr>
          <w:rFonts w:ascii="Times New Roman" w:hAnsi="Times New Roman" w:eastAsia="宋体"/>
          <w:sz w:val="21"/>
        </w:rPr>
        <w:t>。</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矛盾与取舍</w:t>
      </w:r>
    </w:p>
    <w:p>
      <w:pPr>
        <w:spacing w:after="120" w:line="324" w:lineRule="auto"/>
      </w:pPr>
      <w:r>
        <w:rPr>
          <w:rFonts w:ascii="Times New Roman" w:hAnsi="Times New Roman" w:eastAsia="宋体"/>
          <w:sz w:val="21"/>
        </w:rPr>
        <w:t>诚实记录调研中发现的互相矛盾之处及取舍理由。</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color="auto" w:fill="1F3B63"/>
          </w:tcPr>
          <w:p>
            <w:pPr>
              <w:spacing w:after="40" w:before="40"/>
              <w:jc w:val="center"/>
            </w:pPr>
            <w:r>
              <w:rPr>
                <w:rFonts w:ascii="Segoe UI" w:hAnsi="Segoe UI" w:eastAsia="微软雅黑"/>
                <w:b/>
                <w:color w:val="FFFFFF"/>
                <w:sz w:val="18"/>
              </w:rPr>
              <w:t>#</w:t>
            </w:r>
          </w:p>
        </w:tc>
        <w:tc>
          <w:tcPr>
            <w:tcW w:type="dxa" w:w="3061"/>
            <w:shd w:val="clear" w:color="auto" w:fill="1F3B63"/>
          </w:tcPr>
          <w:p>
            <w:pPr>
              <w:spacing w:after="40" w:before="40"/>
              <w:jc w:val="center"/>
            </w:pPr>
            <w:r>
              <w:rPr>
                <w:rFonts w:ascii="Segoe UI" w:hAnsi="Segoe UI" w:eastAsia="微软雅黑"/>
                <w:b/>
                <w:color w:val="FFFFFF"/>
                <w:sz w:val="18"/>
              </w:rPr>
              <w:t>矛盾</w:t>
            </w:r>
          </w:p>
        </w:tc>
        <w:tc>
          <w:tcPr>
            <w:tcW w:type="dxa" w:w="3061"/>
            <w:shd w:val="clear" w:color="auto" w:fill="1F3B63"/>
          </w:tcPr>
          <w:p>
            <w:pPr>
              <w:spacing w:after="40" w:before="40"/>
              <w:jc w:val="center"/>
            </w:pPr>
            <w:r>
              <w:rPr>
                <w:rFonts w:ascii="Segoe UI" w:hAnsi="Segoe UI" w:eastAsia="微软雅黑"/>
                <w:b/>
                <w:color w:val="FFFFFF"/>
                <w:sz w:val="18"/>
              </w:rPr>
              <w:t>取舍</w:t>
            </w:r>
          </w:p>
        </w:tc>
      </w:tr>
      <w:tr>
        <w:tc>
          <w:tcPr>
            <w:tcW w:type="dxa" w:w="3061"/>
          </w:tcPr>
          <w:p>
            <w:pPr>
              <w:spacing w:after="40" w:before="40"/>
              <w:jc w:val="left"/>
            </w:pPr>
            <w:r>
              <w:rPr>
                <w:rFonts w:ascii="Times New Roman" w:hAnsi="Times New Roman" w:eastAsia="宋体"/>
                <w:sz w:val="18"/>
              </w:rPr>
              <w:t>C-1</w:t>
            </w:r>
          </w:p>
        </w:tc>
        <w:tc>
          <w:tcPr>
            <w:tcW w:type="dxa" w:w="3061"/>
          </w:tcPr>
          <w:p>
            <w:pPr>
              <w:spacing w:after="40" w:before="40"/>
              <w:jc w:val="left"/>
            </w:pPr>
            <w:r>
              <w:rPr>
                <w:rFonts w:ascii="Times New Roman" w:hAnsi="Times New Roman" w:eastAsia="宋体"/>
                <w:sz w:val="18"/>
              </w:rPr>
              <w:t xml:space="preserve">K3 激活参数：官方 </w:t>
            </w:r>
            <w:r>
              <w:rPr>
                <w:rFonts w:ascii="Times New Roman" w:hAnsi="Times New Roman" w:eastAsia="宋体"/>
                <w:b/>
                <w:sz w:val="18"/>
              </w:rPr>
              <w:t>104B</w:t>
            </w:r>
            <w:r>
              <w:rPr>
                <w:rFonts w:ascii="Times New Roman" w:hAnsi="Times New Roman" w:eastAsia="宋体"/>
                <w:sz w:val="18"/>
              </w:rPr>
              <w:t>；第三方博客称 37B</w:t>
            </w:r>
          </w:p>
        </w:tc>
        <w:tc>
          <w:tcPr>
            <w:tcW w:type="dxa" w:w="3061"/>
          </w:tcPr>
          <w:p>
            <w:pPr>
              <w:spacing w:after="40" w:before="40"/>
              <w:jc w:val="left"/>
            </w:pPr>
            <w:r>
              <w:rPr>
                <w:rFonts w:ascii="Times New Roman" w:hAnsi="Times New Roman" w:eastAsia="宋体"/>
                <w:sz w:val="18"/>
              </w:rPr>
              <w:t>采用官方 104B。第三方数值与架构不符，判定为笔误</w:t>
            </w:r>
          </w:p>
        </w:tc>
      </w:tr>
      <w:tr>
        <w:tc>
          <w:tcPr>
            <w:tcW w:type="dxa" w:w="3061"/>
            <w:shd w:val="clear" w:color="auto" w:fill="F7F8FA"/>
          </w:tcPr>
          <w:p>
            <w:pPr>
              <w:spacing w:after="40" w:before="40"/>
              <w:jc w:val="left"/>
            </w:pPr>
            <w:r>
              <w:rPr>
                <w:rFonts w:ascii="Times New Roman" w:hAnsi="Times New Roman" w:eastAsia="宋体"/>
                <w:sz w:val="18"/>
              </w:rPr>
              <w:t>C-3</w:t>
            </w:r>
          </w:p>
        </w:tc>
        <w:tc>
          <w:tcPr>
            <w:tcW w:type="dxa" w:w="3061"/>
            <w:shd w:val="clear" w:color="auto" w:fill="F7F8FA"/>
          </w:tcPr>
          <w:p>
            <w:pPr>
              <w:spacing w:after="40" w:before="40"/>
              <w:jc w:val="left"/>
            </w:pPr>
            <w:r>
              <w:rPr>
                <w:rFonts w:ascii="Times New Roman" w:hAnsi="Times New Roman" w:eastAsia="宋体"/>
                <w:sz w:val="18"/>
              </w:rPr>
              <w:t xml:space="preserve">单卡可用显存：标称 288 GB；glennklockwood 称 270 GB；GPUStack 实测 </w:t>
            </w:r>
            <w:r>
              <w:rPr>
                <w:rFonts w:ascii="Times New Roman" w:hAnsi="Times New Roman" w:eastAsia="宋体"/>
                <w:b/>
                <w:sz w:val="18"/>
              </w:rPr>
              <w:t>267.69 GiB</w:t>
            </w:r>
          </w:p>
        </w:tc>
        <w:tc>
          <w:tcPr>
            <w:tcW w:type="dxa" w:w="3061"/>
            <w:shd w:val="clear" w:color="auto" w:fill="F7F8FA"/>
          </w:tcPr>
          <w:p>
            <w:pPr>
              <w:spacing w:after="40" w:before="40"/>
              <w:jc w:val="left"/>
            </w:pPr>
            <w:r>
              <w:rPr>
                <w:rFonts w:ascii="Times New Roman" w:hAnsi="Times New Roman" w:eastAsia="宋体"/>
                <w:sz w:val="18"/>
              </w:rPr>
              <w:t>采用实测值，最保守</w:t>
            </w:r>
          </w:p>
        </w:tc>
      </w:tr>
      <w:tr>
        <w:tc>
          <w:tcPr>
            <w:tcW w:type="dxa" w:w="3061"/>
          </w:tcPr>
          <w:p>
            <w:pPr>
              <w:spacing w:after="40" w:before="40"/>
              <w:jc w:val="left"/>
            </w:pPr>
            <w:r>
              <w:rPr>
                <w:rFonts w:ascii="Times New Roman" w:hAnsi="Times New Roman" w:eastAsia="宋体"/>
                <w:sz w:val="18"/>
              </w:rPr>
              <w:t>C-5</w:t>
            </w:r>
          </w:p>
        </w:tc>
        <w:tc>
          <w:tcPr>
            <w:tcW w:type="dxa" w:w="3061"/>
          </w:tcPr>
          <w:p>
            <w:pPr>
              <w:spacing w:after="40" w:before="40"/>
              <w:jc w:val="left"/>
            </w:pPr>
            <w:r>
              <w:rPr>
                <w:rFonts w:ascii="Times New Roman" w:hAnsi="Times New Roman" w:eastAsia="宋体"/>
                <w:sz w:val="18"/>
              </w:rPr>
              <w:t>长上下文最优引擎：Openzeka 偏向 vLLM；GPUStack 在 200K 时 SGLang 反超</w:t>
            </w:r>
          </w:p>
        </w:tc>
        <w:tc>
          <w:tcPr>
            <w:tcW w:type="dxa" w:w="3061"/>
          </w:tcPr>
          <w:p>
            <w:pPr>
              <w:spacing w:after="40" w:before="40"/>
              <w:jc w:val="left"/>
            </w:pPr>
            <w:r>
              <w:rPr>
                <w:rFonts w:ascii="Times New Roman" w:hAnsi="Times New Roman" w:eastAsia="宋体"/>
                <w:sz w:val="18"/>
              </w:rPr>
              <w:t>测试条件不同（并发、输入长度、是否启用 DCP），不构成矛盾。按上下文分段取各自较优实测值</w:t>
            </w:r>
          </w:p>
        </w:tc>
      </w:tr>
      <w:tr>
        <w:tc>
          <w:tcPr>
            <w:tcW w:type="dxa" w:w="3061"/>
            <w:shd w:val="clear" w:color="auto" w:fill="F7F8FA"/>
          </w:tcPr>
          <w:p>
            <w:pPr>
              <w:spacing w:after="40" w:before="40"/>
              <w:jc w:val="left"/>
            </w:pPr>
            <w:r>
              <w:rPr>
                <w:rFonts w:ascii="Times New Roman" w:hAnsi="Times New Roman" w:eastAsia="宋体"/>
                <w:b/>
                <w:sz w:val="18"/>
              </w:rPr>
              <w:t>C-6</w:t>
            </w:r>
          </w:p>
        </w:tc>
        <w:tc>
          <w:tcPr>
            <w:tcW w:type="dxa" w:w="3061"/>
            <w:shd w:val="clear" w:color="auto" w:fill="F7F8FA"/>
          </w:tcPr>
          <w:p>
            <w:pPr>
              <w:spacing w:after="40" w:before="40"/>
              <w:jc w:val="left"/>
            </w:pPr>
            <w:r>
              <w:rPr>
                <w:rFonts w:ascii="Times New Roman" w:hAnsi="Times New Roman" w:eastAsia="宋体"/>
                <w:b/>
                <w:sz w:val="18"/>
              </w:rPr>
              <w:t>冷启动：DevGENT 称 88.8 分钟；GPUStack 称约 10.6 分钟</w:t>
            </w:r>
          </w:p>
        </w:tc>
        <w:tc>
          <w:tcPr>
            <w:tcW w:type="dxa" w:w="3061"/>
            <w:shd w:val="clear" w:color="auto" w:fill="F7F8FA"/>
          </w:tcPr>
          <w:p>
            <w:pPr>
              <w:spacing w:after="40" w:before="40"/>
              <w:jc w:val="left"/>
            </w:pPr>
            <w:r>
              <w:rPr>
                <w:rFonts w:ascii="Times New Roman" w:hAnsi="Times New Roman" w:eastAsia="宋体"/>
                <w:b/>
                <w:sz w:val="18"/>
              </w:rPr>
              <w:t>两者条件不同：GPUStack 权重已在本地 NVMe（加载 163.8 s），DevGENT 含约 81.4 分钟加载。本报告分开使用——10.6 分钟为计划外重启的 MTTR，88.8 分钟为首次开机与跨机迁移的代价。姊妹报告只用了后者</w:t>
            </w:r>
          </w:p>
        </w:tc>
      </w:tr>
      <w:tr>
        <w:tc>
          <w:tcPr>
            <w:tcW w:type="dxa" w:w="3061"/>
          </w:tcPr>
          <w:p>
            <w:pPr>
              <w:spacing w:after="40" w:before="40"/>
              <w:jc w:val="left"/>
            </w:pPr>
            <w:r>
              <w:rPr>
                <w:rFonts w:ascii="Times New Roman" w:hAnsi="Times New Roman" w:eastAsia="宋体"/>
                <w:b/>
                <w:sz w:val="18"/>
              </w:rPr>
              <w:t>C-7</w:t>
            </w:r>
          </w:p>
        </w:tc>
        <w:tc>
          <w:tcPr>
            <w:tcW w:type="dxa" w:w="3061"/>
          </w:tcPr>
          <w:p>
            <w:pPr>
              <w:spacing w:after="40" w:before="40"/>
              <w:jc w:val="left"/>
            </w:pPr>
            <w:r>
              <w:rPr>
                <w:rFonts w:ascii="Times New Roman" w:hAnsi="Times New Roman" w:eastAsia="宋体"/>
                <w:b/>
                <w:sz w:val="18"/>
              </w:rPr>
              <w:t>新加坡空置率：TNGlobal 称 4.9%；gpuleaseindex 称 2%</w:t>
            </w:r>
          </w:p>
        </w:tc>
        <w:tc>
          <w:tcPr>
            <w:tcW w:type="dxa" w:w="3061"/>
          </w:tcPr>
          <w:p>
            <w:pPr>
              <w:spacing w:after="40" w:before="40"/>
              <w:jc w:val="left"/>
            </w:pPr>
            <w:r>
              <w:rPr>
                <w:rFonts w:ascii="Times New Roman" w:hAnsi="Times New Roman" w:eastAsia="宋体"/>
                <w:b/>
                <w:sz w:val="18"/>
              </w:rPr>
              <w:t>采用 TNGlobal 的 4.9%，因其同一句话中给出了四个市场的可比数据，口径一致性更强。该差异不影响任何结论</w:t>
            </w:r>
          </w:p>
        </w:tc>
      </w:tr>
      <w:tr>
        <w:tc>
          <w:tcPr>
            <w:tcW w:type="dxa" w:w="3061"/>
            <w:shd w:val="clear" w:color="auto" w:fill="F7F8FA"/>
          </w:tcPr>
          <w:p>
            <w:pPr>
              <w:spacing w:after="40" w:before="40"/>
              <w:jc w:val="left"/>
            </w:pPr>
            <w:r>
              <w:rPr>
                <w:rFonts w:ascii="Times New Roman" w:hAnsi="Times New Roman" w:eastAsia="宋体"/>
                <w:b/>
                <w:sz w:val="18"/>
              </w:rPr>
              <w:t>C-8</w:t>
            </w:r>
          </w:p>
        </w:tc>
        <w:tc>
          <w:tcPr>
            <w:tcW w:type="dxa" w:w="3061"/>
            <w:shd w:val="clear" w:color="auto" w:fill="F7F8FA"/>
          </w:tcPr>
          <w:p>
            <w:pPr>
              <w:spacing w:after="40" w:before="40"/>
              <w:jc w:val="left"/>
            </w:pPr>
            <w:r>
              <w:rPr>
                <w:rFonts w:ascii="Times New Roman" w:hAnsi="Times New Roman" w:eastAsia="宋体"/>
                <w:b/>
                <w:sz w:val="18"/>
              </w:rPr>
              <w:t>东南亚托管价：CBRE 新加坡 $330–475/kW·月；simpler.cloud 新加坡 $1,500–2,200/kW；imarcgroup 称新加坡 $15–25/kW·月</w:t>
            </w:r>
          </w:p>
        </w:tc>
        <w:tc>
          <w:tcPr>
            <w:tcW w:type="dxa" w:w="3061"/>
            <w:shd w:val="clear" w:color="auto" w:fill="F7F8FA"/>
          </w:tcPr>
          <w:p>
            <w:pPr>
              <w:spacing w:after="40" w:before="40"/>
              <w:jc w:val="left"/>
            </w:pPr>
            <w:r>
              <w:rPr>
                <w:rFonts w:ascii="Times New Roman" w:hAnsi="Times New Roman" w:eastAsia="宋体"/>
                <w:b/>
                <w:sz w:val="18"/>
              </w:rPr>
              <w:t>三者相差一到两个数量级，说明计价口径不同。采用 CBRE 作绝对水平（口径明确：wholesale/turnkey 的 $/kW/月），采用 simpler.cloud 仅作国别相对比例，imarcgroup 的数值不可用于任何结论</w:t>
            </w:r>
          </w:p>
        </w:tc>
      </w:tr>
      <w:tr>
        <w:tc>
          <w:tcPr>
            <w:tcW w:type="dxa" w:w="3061"/>
          </w:tcPr>
          <w:p>
            <w:pPr>
              <w:spacing w:after="40" w:before="40"/>
              <w:jc w:val="left"/>
            </w:pPr>
            <w:r>
              <w:rPr>
                <w:rFonts w:ascii="Times New Roman" w:hAnsi="Times New Roman" w:eastAsia="宋体"/>
                <w:b/>
                <w:sz w:val="18"/>
              </w:rPr>
              <w:t>C-9</w:t>
            </w:r>
          </w:p>
        </w:tc>
        <w:tc>
          <w:tcPr>
            <w:tcW w:type="dxa" w:w="3061"/>
          </w:tcPr>
          <w:p>
            <w:pPr>
              <w:spacing w:after="40" w:before="40"/>
              <w:jc w:val="left"/>
            </w:pPr>
            <w:r>
              <w:rPr>
                <w:rFonts w:ascii="Times New Roman" w:hAnsi="Times New Roman" w:eastAsia="宋体"/>
                <w:b/>
                <w:sz w:val="18"/>
              </w:rPr>
              <w:t>B300 单机功耗：GPU Smith 称基板 8.8–11.2 kW；NVIDIA 手册称整机 14.5 kW</w:t>
            </w:r>
          </w:p>
        </w:tc>
        <w:tc>
          <w:tcPr>
            <w:tcW w:type="dxa" w:w="3061"/>
          </w:tcPr>
          <w:p>
            <w:pPr>
              <w:spacing w:after="40" w:before="40"/>
              <w:jc w:val="left"/>
            </w:pPr>
            <w:r>
              <w:rPr>
                <w:rFonts w:ascii="Times New Roman" w:hAnsi="Times New Roman" w:eastAsia="宋体"/>
                <w:b/>
                <w:sz w:val="18"/>
              </w:rPr>
              <w:t>不构成矛盾：前者为 8 卡基板，后者为含 CPU/DPU/存储的整机。出租方成本模型按整机 14.5 kW 上浮至 15 kW 合约功率</w:t>
            </w:r>
          </w:p>
        </w:tc>
      </w:tr>
      <w:tr>
        <w:tc>
          <w:tcPr>
            <w:tcW w:type="dxa" w:w="3061"/>
            <w:shd w:val="clear" w:color="auto" w:fill="F7F8FA"/>
          </w:tcPr>
          <w:p>
            <w:pPr>
              <w:spacing w:after="40" w:before="40"/>
              <w:jc w:val="left"/>
            </w:pPr>
            <w:r>
              <w:rPr>
                <w:rFonts w:ascii="Times New Roman" w:hAnsi="Times New Roman" w:eastAsia="宋体"/>
                <w:b/>
                <w:sz w:val="18"/>
              </w:rPr>
              <w:t>C-10</w:t>
            </w:r>
          </w:p>
        </w:tc>
        <w:tc>
          <w:tcPr>
            <w:tcW w:type="dxa" w:w="3061"/>
            <w:shd w:val="clear" w:color="auto" w:fill="F7F8FA"/>
          </w:tcPr>
          <w:p>
            <w:pPr>
              <w:spacing w:after="40" w:before="40"/>
              <w:jc w:val="left"/>
            </w:pPr>
            <w:r>
              <w:rPr>
                <w:rFonts w:ascii="Times New Roman" w:hAnsi="Times New Roman" w:eastAsia="宋体"/>
                <w:b/>
                <w:sz w:val="18"/>
              </w:rPr>
              <w:t>prefill 速率：由端到端耗时反解得 16,134–18,425 tok/s；引擎日志自报 19,000–23,000 tok/s</w:t>
            </w:r>
          </w:p>
        </w:tc>
        <w:tc>
          <w:tcPr>
            <w:tcW w:type="dxa" w:w="3061"/>
            <w:shd w:val="clear" w:color="auto" w:fill="F7F8FA"/>
          </w:tcPr>
          <w:p>
            <w:pPr>
              <w:spacing w:after="40" w:before="40"/>
              <w:jc w:val="left"/>
            </w:pPr>
            <w:r>
              <w:rPr>
                <w:rFonts w:ascii="Times New Roman" w:hAnsi="Times New Roman" w:eastAsia="宋体"/>
                <w:b/>
                <w:sz w:val="18"/>
              </w:rPr>
              <w:t>采用反解的较低值 16,134 作为基准（保守），引擎日志值作为上界纳入敏感性。差异可能来自反解时把调度与首 token 开销也算进了 prefill 时间</w:t>
            </w:r>
          </w:p>
        </w:tc>
      </w:tr>
    </w:tbl>
    <w:p>
      <w:pPr>
        <w:spacing w:after="80"/>
      </w:pP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数据缺口：查不到，不用估值冒充事实</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val="clear" w:color="auto" w:fill="1F3B63"/>
          </w:tcPr>
          <w:p>
            <w:pPr>
              <w:spacing w:after="40" w:before="40"/>
              <w:jc w:val="center"/>
            </w:pPr>
            <w:r>
              <w:rPr>
                <w:rFonts w:ascii="Segoe UI" w:hAnsi="Segoe UI" w:eastAsia="微软雅黑"/>
                <w:b/>
                <w:color w:val="FFFFFF"/>
                <w:sz w:val="18"/>
              </w:rPr>
              <w:t>编号</w:t>
            </w:r>
          </w:p>
        </w:tc>
        <w:tc>
          <w:tcPr>
            <w:tcW w:type="dxa" w:w="2296"/>
            <w:shd w:val="clear" w:color="auto" w:fill="1F3B63"/>
          </w:tcPr>
          <w:p>
            <w:pPr>
              <w:spacing w:after="40" w:before="40"/>
              <w:jc w:val="center"/>
            </w:pPr>
            <w:r>
              <w:rPr>
                <w:rFonts w:ascii="Segoe UI" w:hAnsi="Segoe UI" w:eastAsia="微软雅黑"/>
                <w:b/>
                <w:color w:val="FFFFFF"/>
                <w:sz w:val="18"/>
              </w:rPr>
              <w:t>缺失项</w:t>
            </w:r>
          </w:p>
        </w:tc>
        <w:tc>
          <w:tcPr>
            <w:tcW w:type="dxa" w:w="2296"/>
            <w:shd w:val="clear" w:color="auto" w:fill="1F3B63"/>
          </w:tcPr>
          <w:p>
            <w:pPr>
              <w:spacing w:after="40" w:before="40"/>
              <w:jc w:val="center"/>
            </w:pPr>
            <w:r>
              <w:rPr>
                <w:rFonts w:ascii="Segoe UI" w:hAnsi="Segoe UI" w:eastAsia="微软雅黑"/>
                <w:b/>
                <w:color w:val="FFFFFF"/>
                <w:sz w:val="18"/>
              </w:rPr>
              <w:t>影响</w:t>
            </w:r>
          </w:p>
        </w:tc>
        <w:tc>
          <w:tcPr>
            <w:tcW w:type="dxa" w:w="2296"/>
            <w:shd w:val="clear" w:color="auto" w:fill="1F3B63"/>
          </w:tcPr>
          <w:p>
            <w:pPr>
              <w:spacing w:after="40" w:before="40"/>
              <w:jc w:val="center"/>
            </w:pPr>
            <w:r>
              <w:rPr>
                <w:rFonts w:ascii="Segoe UI" w:hAnsi="Segoe UI" w:eastAsia="微软雅黑"/>
                <w:b/>
                <w:color w:val="FFFFFF"/>
                <w:sz w:val="18"/>
              </w:rPr>
              <w:t>补齐方式</w:t>
            </w:r>
          </w:p>
        </w:tc>
      </w:tr>
      <w:tr>
        <w:tc>
          <w:tcPr>
            <w:tcW w:type="dxa" w:w="2296"/>
          </w:tcPr>
          <w:p>
            <w:pPr>
              <w:spacing w:after="40" w:before="40"/>
              <w:jc w:val="left"/>
            </w:pPr>
            <w:r>
              <w:rPr>
                <w:rFonts w:ascii="Times New Roman" w:hAnsi="Times New Roman" w:eastAsia="宋体"/>
                <w:b/>
                <w:sz w:val="18"/>
              </w:rPr>
              <w:t>G-1</w:t>
            </w:r>
          </w:p>
        </w:tc>
        <w:tc>
          <w:tcPr>
            <w:tcW w:type="dxa" w:w="2296"/>
          </w:tcPr>
          <w:p>
            <w:pPr>
              <w:spacing w:after="40" w:before="40"/>
              <w:jc w:val="left"/>
            </w:pPr>
            <w:r>
              <w:rPr>
                <w:rFonts w:ascii="Times New Roman" w:hAnsi="Times New Roman" w:eastAsia="宋体"/>
                <w:sz w:val="18"/>
              </w:rPr>
              <w:t>柔佛/曼谷/雅加达/马尼拉的 AI 级液冷托管实际牌价</w:t>
            </w:r>
          </w:p>
        </w:tc>
        <w:tc>
          <w:tcPr>
            <w:tcW w:type="dxa" w:w="2296"/>
          </w:tcPr>
          <w:p>
            <w:pPr>
              <w:spacing w:after="40" w:before="40"/>
              <w:jc w:val="left"/>
            </w:pPr>
            <w:r>
              <w:rPr>
                <w:rFonts w:ascii="Times New Roman" w:hAnsi="Times New Roman" w:eastAsia="宋体"/>
                <w:sz w:val="18"/>
              </w:rPr>
              <w:t>各国托管成本只能用 CBRE 绝对值 × 相对比例推算，属</w:t>
            </w:r>
            <w:r>
              <w:rPr>
                <w:rFonts w:ascii="Times New Roman" w:hAnsi="Times New Roman" w:eastAsia="宋体"/>
                <w:b/>
                <w:sz w:val="18"/>
              </w:rPr>
              <w:t>估计非报价</w:t>
            </w:r>
            <w:r>
              <w:rPr>
                <w:rFonts w:ascii="Times New Roman" w:hAnsi="Times New Roman" w:eastAsia="宋体"/>
                <w:sz w:val="18"/>
              </w:rPr>
              <w:t>；据此得出的"该价在印尼可持续"结论同样是估计</w:t>
            </w:r>
          </w:p>
        </w:tc>
        <w:tc>
          <w:tcPr>
            <w:tcW w:type="dxa" w:w="2296"/>
          </w:tcPr>
          <w:p>
            <w:pPr>
              <w:spacing w:after="40" w:before="40"/>
              <w:jc w:val="left"/>
            </w:pPr>
            <w:r>
              <w:rPr>
                <w:rFonts w:ascii="Times New Roman" w:hAnsi="Times New Roman" w:eastAsia="宋体"/>
                <w:sz w:val="18"/>
              </w:rPr>
              <w:t>阶段 2 的 RFQ</w:t>
            </w:r>
          </w:p>
        </w:tc>
      </w:tr>
      <w:tr>
        <w:tc>
          <w:tcPr>
            <w:tcW w:type="dxa" w:w="2296"/>
            <w:shd w:val="clear" w:color="auto" w:fill="F7F8FA"/>
          </w:tcPr>
          <w:p>
            <w:pPr>
              <w:spacing w:after="40" w:before="40"/>
              <w:jc w:val="left"/>
            </w:pPr>
            <w:r>
              <w:rPr>
                <w:rFonts w:ascii="Times New Roman" w:hAnsi="Times New Roman" w:eastAsia="宋体"/>
                <w:b/>
                <w:sz w:val="18"/>
              </w:rPr>
              <w:t>G-2</w:t>
            </w:r>
          </w:p>
        </w:tc>
        <w:tc>
          <w:tcPr>
            <w:tcW w:type="dxa" w:w="2296"/>
            <w:shd w:val="clear" w:color="auto" w:fill="F7F8FA"/>
          </w:tcPr>
          <w:p>
            <w:pPr>
              <w:spacing w:after="40" w:before="40"/>
              <w:jc w:val="left"/>
            </w:pPr>
            <w:r>
              <w:rPr>
                <w:rFonts w:ascii="Times New Roman" w:hAnsi="Times New Roman" w:eastAsia="宋体"/>
                <w:sz w:val="18"/>
              </w:rPr>
              <w:t>泰国、印尼、菲律宾的工商电价</w:t>
            </w:r>
          </w:p>
        </w:tc>
        <w:tc>
          <w:tcPr>
            <w:tcW w:type="dxa" w:w="2296"/>
            <w:shd w:val="clear" w:color="auto" w:fill="F7F8FA"/>
          </w:tcPr>
          <w:p>
            <w:pPr>
              <w:spacing w:after="40" w:before="40"/>
              <w:jc w:val="left"/>
            </w:pPr>
            <w:r>
              <w:rPr>
                <w:rFonts w:ascii="Times New Roman" w:hAnsi="Times New Roman" w:eastAsia="宋体"/>
                <w:sz w:val="18"/>
              </w:rPr>
              <w:t>这三国的出租方成本反推是在"电价与马来西亚相同"的显式假设下做的</w:t>
            </w:r>
          </w:p>
        </w:tc>
        <w:tc>
          <w:tcPr>
            <w:tcW w:type="dxa" w:w="2296"/>
            <w:shd w:val="clear" w:color="auto" w:fill="F7F8FA"/>
          </w:tcPr>
          <w:p>
            <w:pPr>
              <w:spacing w:after="40" w:before="40"/>
              <w:jc w:val="left"/>
            </w:pPr>
            <w:r>
              <w:rPr>
                <w:rFonts w:ascii="Times New Roman" w:hAnsi="Times New Roman" w:eastAsia="宋体"/>
                <w:sz w:val="18"/>
              </w:rPr>
              <w:t>RFQ 时索取电价条款</w:t>
            </w:r>
          </w:p>
        </w:tc>
      </w:tr>
      <w:tr>
        <w:tc>
          <w:tcPr>
            <w:tcW w:type="dxa" w:w="2296"/>
          </w:tcPr>
          <w:p>
            <w:pPr>
              <w:spacing w:after="40" w:before="40"/>
              <w:jc w:val="left"/>
            </w:pPr>
            <w:r>
              <w:rPr>
                <w:rFonts w:ascii="Times New Roman" w:hAnsi="Times New Roman" w:eastAsia="宋体"/>
                <w:b/>
                <w:sz w:val="18"/>
              </w:rPr>
              <w:t>G-3</w:t>
            </w:r>
          </w:p>
        </w:tc>
        <w:tc>
          <w:tcPr>
            <w:tcW w:type="dxa" w:w="2296"/>
          </w:tcPr>
          <w:p>
            <w:pPr>
              <w:spacing w:after="40" w:before="40"/>
              <w:jc w:val="left"/>
            </w:pPr>
            <w:r>
              <w:rPr>
                <w:rFonts w:ascii="Times New Roman" w:hAnsi="Times New Roman" w:eastAsia="宋体"/>
                <w:sz w:val="18"/>
              </w:rPr>
              <w:t>马尼拉到新加坡及到美西的网络延迟</w:t>
            </w:r>
          </w:p>
        </w:tc>
        <w:tc>
          <w:tcPr>
            <w:tcW w:type="dxa" w:w="2296"/>
          </w:tcPr>
          <w:p>
            <w:pPr>
              <w:spacing w:after="40" w:before="40"/>
              <w:jc w:val="left"/>
            </w:pPr>
            <w:r>
              <w:rPr>
                <w:rFonts w:ascii="Times New Roman" w:hAnsi="Times New Roman" w:eastAsia="宋体"/>
                <w:sz w:val="18"/>
              </w:rPr>
              <w:t>菲律宾不纳入延迟量化排名，选址矩阵中留空</w:t>
            </w:r>
          </w:p>
        </w:tc>
        <w:tc>
          <w:tcPr>
            <w:tcW w:type="dxa" w:w="2296"/>
          </w:tcPr>
          <w:p>
            <w:pPr>
              <w:spacing w:after="40" w:before="40"/>
              <w:jc w:val="left"/>
            </w:pPr>
            <w:r>
              <w:rPr>
                <w:rFonts w:ascii="Times New Roman" w:hAnsi="Times New Roman" w:eastAsia="宋体"/>
                <w:sz w:val="18"/>
              </w:rPr>
              <w:t>实测或向 IDC 索取</w:t>
            </w:r>
          </w:p>
        </w:tc>
      </w:tr>
      <w:tr>
        <w:tc>
          <w:tcPr>
            <w:tcW w:type="dxa" w:w="2296"/>
            <w:shd w:val="clear" w:color="auto" w:fill="F7F8FA"/>
          </w:tcPr>
          <w:p>
            <w:pPr>
              <w:spacing w:after="40" w:before="40"/>
              <w:jc w:val="left"/>
            </w:pPr>
            <w:r>
              <w:rPr>
                <w:rFonts w:ascii="Times New Roman" w:hAnsi="Times New Roman" w:eastAsia="宋体"/>
                <w:b/>
                <w:sz w:val="18"/>
              </w:rPr>
              <w:t>G-4</w:t>
            </w:r>
          </w:p>
        </w:tc>
        <w:tc>
          <w:tcPr>
            <w:tcW w:type="dxa" w:w="2296"/>
            <w:shd w:val="clear" w:color="auto" w:fill="F7F8FA"/>
          </w:tcPr>
          <w:p>
            <w:pPr>
              <w:spacing w:after="40" w:before="40"/>
              <w:jc w:val="left"/>
            </w:pPr>
            <w:r>
              <w:rPr>
                <w:rFonts w:ascii="Times New Roman" w:hAnsi="Times New Roman" w:eastAsia="宋体"/>
                <w:sz w:val="18"/>
              </w:rPr>
              <w:t>泰国、印尼、菲律宾是否有与马来西亚 MITI 指令对等的 AI 芯片许可制</w:t>
            </w:r>
          </w:p>
        </w:tc>
        <w:tc>
          <w:tcPr>
            <w:tcW w:type="dxa" w:w="2296"/>
            <w:shd w:val="clear" w:color="auto" w:fill="F7F8FA"/>
          </w:tcPr>
          <w:p>
            <w:pPr>
              <w:spacing w:after="40" w:before="40"/>
              <w:jc w:val="left"/>
            </w:pPr>
            <w:r>
              <w:rPr>
                <w:rFonts w:ascii="Times New Roman" w:hAnsi="Times New Roman" w:eastAsia="宋体"/>
                <w:sz w:val="18"/>
              </w:rPr>
              <w:t>层三筛查对这三国留空。</w:t>
            </w:r>
            <w:r>
              <w:rPr>
                <w:rFonts w:ascii="Times New Roman" w:hAnsi="Times New Roman" w:eastAsia="宋体"/>
                <w:b/>
                <w:sz w:val="18"/>
              </w:rPr>
              <w:t>不得据此宣称其"无管制"</w:t>
            </w:r>
            <w:r>
              <w:rPr>
                <w:rFonts w:ascii="Times New Roman" w:hAnsi="Times New Roman" w:eastAsia="宋体"/>
                <w:sz w:val="18"/>
              </w:rPr>
              <w:t>——模型有一条自检专门防止这种误报</w:t>
            </w:r>
          </w:p>
        </w:tc>
        <w:tc>
          <w:tcPr>
            <w:tcW w:type="dxa" w:w="2296"/>
            <w:shd w:val="clear" w:color="auto" w:fill="F7F8FA"/>
          </w:tcPr>
          <w:p>
            <w:pPr>
              <w:spacing w:after="40" w:before="40"/>
              <w:jc w:val="left"/>
            </w:pPr>
            <w:r>
              <w:rPr>
                <w:rFonts w:ascii="Times New Roman" w:hAnsi="Times New Roman" w:eastAsia="宋体"/>
                <w:sz w:val="18"/>
              </w:rPr>
              <w:t>当地律师意见</w:t>
            </w:r>
          </w:p>
        </w:tc>
      </w:tr>
      <w:tr>
        <w:tc>
          <w:tcPr>
            <w:tcW w:type="dxa" w:w="2296"/>
          </w:tcPr>
          <w:p>
            <w:pPr>
              <w:spacing w:after="40" w:before="40"/>
              <w:jc w:val="left"/>
            </w:pPr>
            <w:r>
              <w:rPr>
                <w:rFonts w:ascii="Times New Roman" w:hAnsi="Times New Roman" w:eastAsia="宋体"/>
                <w:b/>
                <w:sz w:val="18"/>
              </w:rPr>
              <w:t>G-5</w:t>
            </w:r>
          </w:p>
        </w:tc>
        <w:tc>
          <w:tcPr>
            <w:tcW w:type="dxa" w:w="2296"/>
          </w:tcPr>
          <w:p>
            <w:pPr>
              <w:spacing w:after="40" w:before="40"/>
              <w:jc w:val="left"/>
            </w:pPr>
            <w:r>
              <w:rPr>
                <w:rFonts w:ascii="Times New Roman" w:hAnsi="Times New Roman" w:eastAsia="宋体"/>
                <w:sz w:val="18"/>
              </w:rPr>
              <w:t>马来西亚实缴资本 ≤RM250 万公司的优惠税率档具体数值</w:t>
            </w:r>
          </w:p>
        </w:tc>
        <w:tc>
          <w:tcPr>
            <w:tcW w:type="dxa" w:w="2296"/>
          </w:tcPr>
          <w:p>
            <w:pPr>
              <w:spacing w:after="40" w:before="40"/>
              <w:jc w:val="left"/>
            </w:pPr>
            <w:r>
              <w:rPr>
                <w:rFonts w:ascii="Times New Roman" w:hAnsi="Times New Roman" w:eastAsia="宋体"/>
                <w:sz w:val="18"/>
              </w:rPr>
              <w:t>马来西亚一律按 24% 标准税率计，偏保守</w:t>
            </w:r>
          </w:p>
        </w:tc>
        <w:tc>
          <w:tcPr>
            <w:tcW w:type="dxa" w:w="2296"/>
          </w:tcPr>
          <w:p>
            <w:pPr>
              <w:spacing w:after="40" w:before="40"/>
              <w:jc w:val="left"/>
            </w:pPr>
            <w:r>
              <w:rPr>
                <w:rFonts w:ascii="Times New Roman" w:hAnsi="Times New Roman" w:eastAsia="宋体"/>
                <w:sz w:val="18"/>
              </w:rPr>
              <w:t>查证后可下调</w:t>
            </w:r>
          </w:p>
        </w:tc>
      </w:tr>
      <w:tr>
        <w:tc>
          <w:tcPr>
            <w:tcW w:type="dxa" w:w="2296"/>
            <w:shd w:val="clear" w:color="auto" w:fill="F7F8FA"/>
          </w:tcPr>
          <w:p>
            <w:pPr>
              <w:spacing w:after="40" w:before="40"/>
              <w:jc w:val="left"/>
            </w:pPr>
            <w:r>
              <w:rPr>
                <w:rFonts w:ascii="Times New Roman" w:hAnsi="Times New Roman" w:eastAsia="宋体"/>
                <w:b/>
                <w:sz w:val="18"/>
              </w:rPr>
              <w:t>G-6</w:t>
            </w:r>
          </w:p>
        </w:tc>
        <w:tc>
          <w:tcPr>
            <w:tcW w:type="dxa" w:w="2296"/>
            <w:shd w:val="clear" w:color="auto" w:fill="F7F8FA"/>
          </w:tcPr>
          <w:p>
            <w:pPr>
              <w:spacing w:after="40" w:before="40"/>
              <w:jc w:val="left"/>
            </w:pPr>
            <w:r>
              <w:rPr>
                <w:rFonts w:ascii="Times New Roman" w:hAnsi="Times New Roman" w:eastAsia="宋体"/>
                <w:sz w:val="18"/>
              </w:rPr>
              <w:t>网络延迟到 OpenRouter 路由流量份额的定量映射</w:t>
            </w:r>
          </w:p>
        </w:tc>
        <w:tc>
          <w:tcPr>
            <w:tcW w:type="dxa" w:w="2296"/>
            <w:shd w:val="clear" w:color="auto" w:fill="F7F8FA"/>
          </w:tcPr>
          <w:p>
            <w:pPr>
              <w:spacing w:after="40" w:before="40"/>
              <w:jc w:val="left"/>
            </w:pPr>
            <w:r>
              <w:rPr>
                <w:rFonts w:ascii="Times New Roman" w:hAnsi="Times New Roman" w:eastAsia="宋体"/>
                <w:b/>
                <w:sz w:val="18"/>
              </w:rPr>
              <w:t>不构造需求弹性</w:t>
            </w:r>
            <w:r>
              <w:rPr>
                <w:rFonts w:ascii="Times New Roman" w:hAnsi="Times New Roman" w:eastAsia="宋体"/>
                <w:sz w:val="18"/>
              </w:rPr>
              <w:t>，只做 SLO 阈值通过与否的定性判断</w:t>
            </w:r>
          </w:p>
        </w:tc>
        <w:tc>
          <w:tcPr>
            <w:tcW w:type="dxa" w:w="2296"/>
            <w:shd w:val="clear" w:color="auto" w:fill="F7F8FA"/>
          </w:tcPr>
          <w:p>
            <w:pPr>
              <w:spacing w:after="40" w:before="40"/>
              <w:jc w:val="left"/>
            </w:pPr>
            <w:r>
              <w:rPr>
                <w:rFonts w:ascii="Times New Roman" w:hAnsi="Times New Roman" w:eastAsia="宋体"/>
                <w:sz w:val="18"/>
              </w:rPr>
              <w:t>上架后用自身流量实测</w:t>
            </w:r>
          </w:p>
        </w:tc>
      </w:tr>
      <w:tr>
        <w:tc>
          <w:tcPr>
            <w:tcW w:type="dxa" w:w="2296"/>
          </w:tcPr>
          <w:p>
            <w:pPr>
              <w:spacing w:after="40" w:before="40"/>
              <w:jc w:val="left"/>
            </w:pPr>
            <w:r>
              <w:rPr>
                <w:rFonts w:ascii="Times New Roman" w:hAnsi="Times New Roman" w:eastAsia="宋体"/>
                <w:b/>
                <w:sz w:val="18"/>
              </w:rPr>
              <w:t>G-7</w:t>
            </w:r>
          </w:p>
        </w:tc>
        <w:tc>
          <w:tcPr>
            <w:tcW w:type="dxa" w:w="2296"/>
          </w:tcPr>
          <w:p>
            <w:pPr>
              <w:spacing w:after="40" w:before="40"/>
              <w:jc w:val="left"/>
            </w:pPr>
            <w:r>
              <w:rPr>
                <w:rFonts w:ascii="Times New Roman" w:hAnsi="Times New Roman" w:eastAsia="宋体"/>
                <w:sz w:val="18"/>
              </w:rPr>
              <w:t>本项目租约的押金月数、租期、提前终止条款</w:t>
            </w:r>
          </w:p>
        </w:tc>
        <w:tc>
          <w:tcPr>
            <w:tcW w:type="dxa" w:w="2296"/>
          </w:tcPr>
          <w:p>
            <w:pPr>
              <w:spacing w:after="40" w:before="40"/>
              <w:jc w:val="left"/>
            </w:pPr>
            <w:r>
              <w:rPr>
                <w:rFonts w:ascii="Times New Roman" w:hAnsi="Times New Roman" w:eastAsia="宋体"/>
                <w:sz w:val="18"/>
              </w:rPr>
              <w:t>尾部租约义务与下行风险测算全部依赖假设（押金 2 个月、租期 36 个月、无提前终止）</w:t>
            </w:r>
          </w:p>
        </w:tc>
        <w:tc>
          <w:tcPr>
            <w:tcW w:type="dxa" w:w="2296"/>
          </w:tcPr>
          <w:p>
            <w:pPr>
              <w:spacing w:after="40" w:before="40"/>
              <w:jc w:val="left"/>
            </w:pPr>
            <w:r>
              <w:rPr>
                <w:rFonts w:ascii="Times New Roman" w:hAnsi="Times New Roman" w:eastAsia="宋体"/>
                <w:b/>
                <w:sz w:val="18"/>
              </w:rPr>
              <w:t>签约前必须确认，这是全报告最关键的未知数</w:t>
            </w:r>
          </w:p>
        </w:tc>
      </w:tr>
    </w:tbl>
    <w:p>
      <w:pPr>
        <w:spacing w:after="80"/>
      </w:pP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未能查证、列为假设的参数</w:t>
      </w:r>
    </w:p>
    <w:p>
      <w:pPr>
        <w:spacing w:after="120" w:line="324" w:lineRule="auto"/>
      </w:pPr>
      <w:r>
        <w:rPr>
          <w:rFonts w:ascii="Times New Roman" w:hAnsi="Times New Roman" w:eastAsia="宋体"/>
          <w:sz w:val="21"/>
        </w:rPr>
        <w:t>以下参数缺乏可引用来源，在模型中作为</w:t>
      </w:r>
      <w:r>
        <w:rPr>
          <w:rFonts w:ascii="Times New Roman" w:hAnsi="Times New Roman" w:eastAsia="宋体"/>
          <w:b/>
          <w:sz w:val="21"/>
        </w:rPr>
        <w:t>显式假设</w:t>
      </w:r>
      <w:r>
        <w:rPr>
          <w:rFonts w:ascii="Times New Roman" w:hAnsi="Times New Roman" w:eastAsia="宋体"/>
          <w:sz w:val="21"/>
        </w:rPr>
        <w:t>处理，全部纳入敏感性分析。</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color="auto" w:fill="1F3B63"/>
          </w:tcPr>
          <w:p>
            <w:pPr>
              <w:spacing w:after="40" w:before="40"/>
              <w:jc w:val="center"/>
            </w:pPr>
            <w:r>
              <w:rPr>
                <w:rFonts w:ascii="Segoe UI" w:hAnsi="Segoe UI" w:eastAsia="微软雅黑"/>
                <w:b/>
                <w:color w:val="FFFFFF"/>
                <w:sz w:val="18"/>
              </w:rPr>
              <w:t>参数</w:t>
            </w:r>
          </w:p>
        </w:tc>
        <w:tc>
          <w:tcPr>
            <w:tcW w:type="dxa" w:w="3061"/>
            <w:shd w:val="clear" w:color="auto" w:fill="1F3B63"/>
          </w:tcPr>
          <w:p>
            <w:pPr>
              <w:spacing w:after="40" w:before="40"/>
              <w:jc w:val="center"/>
            </w:pPr>
            <w:r>
              <w:rPr>
                <w:rFonts w:ascii="Segoe UI" w:hAnsi="Segoe UI" w:eastAsia="微软雅黑"/>
                <w:b/>
                <w:color w:val="FFFFFF"/>
                <w:sz w:val="18"/>
              </w:rPr>
              <w:t>假设值</w:t>
            </w:r>
          </w:p>
        </w:tc>
        <w:tc>
          <w:tcPr>
            <w:tcW w:type="dxa" w:w="3061"/>
            <w:shd w:val="clear" w:color="auto" w:fill="1F3B63"/>
          </w:tcPr>
          <w:p>
            <w:pPr>
              <w:spacing w:after="40" w:before="40"/>
              <w:jc w:val="center"/>
            </w:pPr>
            <w:r>
              <w:rPr>
                <w:rFonts w:ascii="Segoe UI" w:hAnsi="Segoe UI" w:eastAsia="微软雅黑"/>
                <w:b/>
                <w:color w:val="FFFFFF"/>
                <w:sz w:val="18"/>
              </w:rPr>
              <w:t>依据与不确定性</w:t>
            </w:r>
          </w:p>
        </w:tc>
      </w:tr>
      <w:tr>
        <w:tc>
          <w:tcPr>
            <w:tcW w:type="dxa" w:w="3061"/>
          </w:tcPr>
          <w:p>
            <w:pPr>
              <w:spacing w:after="40" w:before="40"/>
              <w:jc w:val="left"/>
            </w:pPr>
            <w:r>
              <w:rPr>
                <w:rFonts w:ascii="Times New Roman" w:hAnsi="Times New Roman" w:eastAsia="宋体"/>
                <w:b/>
                <w:sz w:val="18"/>
              </w:rPr>
              <w:t>年化价格侵蚀率</w:t>
            </w:r>
          </w:p>
        </w:tc>
        <w:tc>
          <w:tcPr>
            <w:tcW w:type="dxa" w:w="3061"/>
          </w:tcPr>
          <w:p>
            <w:pPr>
              <w:spacing w:after="40" w:before="40"/>
              <w:jc w:val="left"/>
            </w:pPr>
            <w:r>
              <w:rPr>
                <w:rFonts w:ascii="Times New Roman" w:hAnsi="Times New Roman" w:eastAsia="宋体"/>
                <w:b/>
                <w:sz w:val="18"/>
              </w:rPr>
              <w:t>20%（另测 0%/40%）</w:t>
            </w:r>
          </w:p>
        </w:tc>
        <w:tc>
          <w:tcPr>
            <w:tcW w:type="dxa" w:w="3061"/>
          </w:tcPr>
          <w:p>
            <w:pPr>
              <w:spacing w:after="40" w:before="40"/>
              <w:jc w:val="left"/>
            </w:pPr>
            <w:r>
              <w:rPr>
                <w:rFonts w:ascii="Times New Roman" w:hAnsi="Times New Roman" w:eastAsia="宋体"/>
                <w:b/>
                <w:sz w:val="18"/>
              </w:rPr>
              <w:t>依据 11 家 provider 同价竞争的市场结构定性推断，无历史序列可拟合。这是全模型最关键也最弱的假设——它单独决定九种情景中哪些成立</w:t>
            </w:r>
          </w:p>
        </w:tc>
      </w:tr>
      <w:tr>
        <w:tc>
          <w:tcPr>
            <w:tcW w:type="dxa" w:w="3061"/>
            <w:shd w:val="clear" w:color="auto" w:fill="F7F8FA"/>
          </w:tcPr>
          <w:p>
            <w:pPr>
              <w:spacing w:after="40" w:before="40"/>
              <w:jc w:val="left"/>
            </w:pPr>
            <w:r>
              <w:rPr>
                <w:rFonts w:ascii="Times New Roman" w:hAnsi="Times New Roman" w:eastAsia="宋体"/>
                <w:sz w:val="18"/>
              </w:rPr>
              <w:t>利用率爬坡曲线</w:t>
            </w:r>
          </w:p>
        </w:tc>
        <w:tc>
          <w:tcPr>
            <w:tcW w:type="dxa" w:w="3061"/>
            <w:shd w:val="clear" w:color="auto" w:fill="F7F8FA"/>
          </w:tcPr>
          <w:p>
            <w:pPr>
              <w:spacing w:after="40" w:before="40"/>
              <w:jc w:val="left"/>
            </w:pPr>
            <w:r>
              <w:rPr>
                <w:rFonts w:ascii="Times New Roman" w:hAnsi="Times New Roman" w:eastAsia="宋体"/>
                <w:sz w:val="18"/>
              </w:rPr>
              <w:t>三情景</w:t>
            </w:r>
          </w:p>
        </w:tc>
        <w:tc>
          <w:tcPr>
            <w:tcW w:type="dxa" w:w="3061"/>
            <w:shd w:val="clear" w:color="auto" w:fill="F7F8FA"/>
          </w:tcPr>
          <w:p>
            <w:pPr>
              <w:spacing w:after="40" w:before="40"/>
              <w:jc w:val="left"/>
            </w:pPr>
            <w:r>
              <w:rPr>
                <w:rFonts w:ascii="Times New Roman" w:hAnsi="Times New Roman" w:eastAsia="宋体"/>
                <w:sz w:val="18"/>
              </w:rPr>
              <w:t>取决于获客能力，属项目方自身变量，非外部事实</w:t>
            </w:r>
          </w:p>
        </w:tc>
      </w:tr>
      <w:tr>
        <w:tc>
          <w:tcPr>
            <w:tcW w:type="dxa" w:w="3061"/>
          </w:tcPr>
          <w:p>
            <w:pPr>
              <w:spacing w:after="40" w:before="40"/>
              <w:jc w:val="left"/>
            </w:pPr>
            <w:r>
              <w:rPr>
                <w:rFonts w:ascii="Times New Roman" w:hAnsi="Times New Roman" w:eastAsia="宋体"/>
                <w:sz w:val="18"/>
              </w:rPr>
              <w:t>月度中断危险率</w:t>
            </w:r>
          </w:p>
        </w:tc>
        <w:tc>
          <w:tcPr>
            <w:tcW w:type="dxa" w:w="3061"/>
          </w:tcPr>
          <w:p>
            <w:pPr>
              <w:spacing w:after="40" w:before="40"/>
              <w:jc w:val="left"/>
            </w:pPr>
            <w:r>
              <w:rPr>
                <w:rFonts w:ascii="Times New Roman" w:hAnsi="Times New Roman" w:eastAsia="宋体"/>
                <w:sz w:val="18"/>
              </w:rPr>
              <w:t>1.0%（另测 0.5%/2%/3%）</w:t>
            </w:r>
          </w:p>
        </w:tc>
        <w:tc>
          <w:tcPr>
            <w:tcW w:type="dxa" w:w="3061"/>
          </w:tcPr>
          <w:p>
            <w:pPr>
              <w:spacing w:after="40" w:before="40"/>
              <w:jc w:val="left"/>
            </w:pPr>
            <w:r>
              <w:rPr>
                <w:rFonts w:ascii="Times New Roman" w:hAnsi="Times New Roman" w:eastAsia="宋体"/>
                <w:sz w:val="18"/>
              </w:rPr>
              <w:t>无公开统计。合规东道国下低于姊妹报告的境内灰色渠道情景（1.5%），但仍需覆盖监管突变、供应链与单点故障</w:t>
            </w:r>
          </w:p>
        </w:tc>
      </w:tr>
      <w:tr>
        <w:tc>
          <w:tcPr>
            <w:tcW w:type="dxa" w:w="3061"/>
            <w:shd w:val="clear" w:color="auto" w:fill="F7F8FA"/>
          </w:tcPr>
          <w:p>
            <w:pPr>
              <w:spacing w:after="40" w:before="40"/>
              <w:jc w:val="left"/>
            </w:pPr>
            <w:r>
              <w:rPr>
                <w:rFonts w:ascii="Times New Roman" w:hAnsi="Times New Roman" w:eastAsia="宋体"/>
                <w:sz w:val="18"/>
              </w:rPr>
              <w:t>押金月数</w:t>
            </w:r>
          </w:p>
        </w:tc>
        <w:tc>
          <w:tcPr>
            <w:tcW w:type="dxa" w:w="3061"/>
            <w:shd w:val="clear" w:color="auto" w:fill="F7F8FA"/>
          </w:tcPr>
          <w:p>
            <w:pPr>
              <w:spacing w:after="40" w:before="40"/>
              <w:jc w:val="left"/>
            </w:pPr>
            <w:r>
              <w:rPr>
                <w:rFonts w:ascii="Times New Roman" w:hAnsi="Times New Roman" w:eastAsia="宋体"/>
                <w:sz w:val="18"/>
              </w:rPr>
              <w:t>2 个月租金</w:t>
            </w:r>
          </w:p>
        </w:tc>
        <w:tc>
          <w:tcPr>
            <w:tcW w:type="dxa" w:w="3061"/>
            <w:shd w:val="clear" w:color="auto" w:fill="F7F8FA"/>
          </w:tcPr>
          <w:p>
            <w:pPr>
              <w:spacing w:after="40" w:before="40"/>
              <w:jc w:val="left"/>
            </w:pPr>
            <w:r>
              <w:rPr>
                <w:rFonts w:ascii="Times New Roman" w:hAnsi="Times New Roman" w:eastAsia="宋体"/>
                <w:sz w:val="18"/>
              </w:rPr>
              <w:t>商务惯例，未获合同文本证实</w:t>
            </w:r>
          </w:p>
        </w:tc>
      </w:tr>
      <w:tr>
        <w:tc>
          <w:tcPr>
            <w:tcW w:type="dxa" w:w="3061"/>
          </w:tcPr>
          <w:p>
            <w:pPr>
              <w:spacing w:after="40" w:before="40"/>
              <w:jc w:val="left"/>
            </w:pPr>
            <w:r>
              <w:rPr>
                <w:rFonts w:ascii="Times New Roman" w:hAnsi="Times New Roman" w:eastAsia="宋体"/>
                <w:b/>
                <w:sz w:val="18"/>
              </w:rPr>
              <w:t>租约期限</w:t>
            </w:r>
          </w:p>
        </w:tc>
        <w:tc>
          <w:tcPr>
            <w:tcW w:type="dxa" w:w="3061"/>
          </w:tcPr>
          <w:p>
            <w:pPr>
              <w:spacing w:after="40" w:before="40"/>
              <w:jc w:val="left"/>
            </w:pPr>
            <w:r>
              <w:rPr>
                <w:rFonts w:ascii="Times New Roman" w:hAnsi="Times New Roman" w:eastAsia="宋体"/>
                <w:b/>
                <w:sz w:val="18"/>
              </w:rPr>
              <w:t>36 个月（另测 12/1）</w:t>
            </w:r>
          </w:p>
        </w:tc>
        <w:tc>
          <w:tcPr>
            <w:tcW w:type="dxa" w:w="3061"/>
          </w:tcPr>
          <w:p>
            <w:pPr>
              <w:spacing w:after="40" w:before="40"/>
              <w:jc w:val="left"/>
            </w:pPr>
            <w:r>
              <w:rPr>
                <w:rFonts w:ascii="Times New Roman" w:hAnsi="Times New Roman" w:eastAsia="宋体"/>
                <w:b/>
                <w:sz w:val="18"/>
              </w:rPr>
              <w:t>本项目未给定。但该价位显著低于按需市场价，行业惯例上只有长约才能取得，故基准取 36 个月。这一假设决定尾部义务与下行敞口的大小</w:t>
            </w:r>
          </w:p>
        </w:tc>
      </w:tr>
      <w:tr>
        <w:tc>
          <w:tcPr>
            <w:tcW w:type="dxa" w:w="3061"/>
            <w:shd w:val="clear" w:color="auto" w:fill="F7F8FA"/>
          </w:tcPr>
          <w:p>
            <w:pPr>
              <w:spacing w:after="40" w:before="40"/>
              <w:jc w:val="left"/>
            </w:pPr>
            <w:r>
              <w:rPr>
                <w:rFonts w:ascii="Times New Roman" w:hAnsi="Times New Roman" w:eastAsia="宋体"/>
                <w:sz w:val="18"/>
              </w:rPr>
              <w:t>提前终止权</w:t>
            </w:r>
          </w:p>
        </w:tc>
        <w:tc>
          <w:tcPr>
            <w:tcW w:type="dxa" w:w="3061"/>
            <w:shd w:val="clear" w:color="auto" w:fill="F7F8FA"/>
          </w:tcPr>
          <w:p>
            <w:pPr>
              <w:spacing w:after="40" w:before="40"/>
              <w:jc w:val="left"/>
            </w:pPr>
            <w:r>
              <w:rPr>
                <w:rFonts w:ascii="Times New Roman" w:hAnsi="Times New Roman" w:eastAsia="宋体"/>
                <w:sz w:val="18"/>
              </w:rPr>
              <w:t>无</w:t>
            </w:r>
          </w:p>
        </w:tc>
        <w:tc>
          <w:tcPr>
            <w:tcW w:type="dxa" w:w="3061"/>
            <w:shd w:val="clear" w:color="auto" w:fill="F7F8FA"/>
          </w:tcPr>
          <w:p>
            <w:pPr>
              <w:spacing w:after="40" w:before="40"/>
              <w:jc w:val="left"/>
            </w:pPr>
            <w:r>
              <w:rPr>
                <w:rFonts w:ascii="Times New Roman" w:hAnsi="Times New Roman" w:eastAsia="宋体"/>
                <w:sz w:val="18"/>
              </w:rPr>
              <w:t>基准假设最不利情形。若能谈到，下行风险大幅收窄</w:t>
            </w:r>
          </w:p>
        </w:tc>
      </w:tr>
      <w:tr>
        <w:tc>
          <w:tcPr>
            <w:tcW w:type="dxa" w:w="3061"/>
          </w:tcPr>
          <w:p>
            <w:pPr>
              <w:spacing w:after="40" w:before="40"/>
              <w:jc w:val="left"/>
            </w:pPr>
            <w:r>
              <w:rPr>
                <w:rFonts w:ascii="Times New Roman" w:hAnsi="Times New Roman" w:eastAsia="宋体"/>
                <w:sz w:val="18"/>
              </w:rPr>
              <w:t>聚合渠道收入占比</w:t>
            </w:r>
          </w:p>
        </w:tc>
        <w:tc>
          <w:tcPr>
            <w:tcW w:type="dxa" w:w="3061"/>
          </w:tcPr>
          <w:p>
            <w:pPr>
              <w:spacing w:after="40" w:before="40"/>
              <w:jc w:val="left"/>
            </w:pPr>
            <w:r>
              <w:rPr>
                <w:rFonts w:ascii="Times New Roman" w:hAnsi="Times New Roman" w:eastAsia="宋体"/>
                <w:sz w:val="18"/>
              </w:rPr>
              <w:t>60%</w:t>
            </w:r>
          </w:p>
        </w:tc>
        <w:tc>
          <w:tcPr>
            <w:tcW w:type="dxa" w:w="3061"/>
          </w:tcPr>
          <w:p>
            <w:pPr>
              <w:spacing w:after="40" w:before="40"/>
              <w:jc w:val="left"/>
            </w:pPr>
            <w:r>
              <w:rPr>
                <w:rFonts w:ascii="Times New Roman" w:hAnsi="Times New Roman" w:eastAsia="宋体"/>
                <w:sz w:val="18"/>
              </w:rPr>
              <w:t>双轨策略的配比假设</w:t>
            </w:r>
          </w:p>
        </w:tc>
      </w:tr>
      <w:tr>
        <w:tc>
          <w:tcPr>
            <w:tcW w:type="dxa" w:w="3061"/>
            <w:shd w:val="clear" w:color="auto" w:fill="F7F8FA"/>
          </w:tcPr>
          <w:p>
            <w:pPr>
              <w:spacing w:after="40" w:before="40"/>
              <w:jc w:val="left"/>
            </w:pPr>
            <w:r>
              <w:rPr>
                <w:rFonts w:ascii="Times New Roman" w:hAnsi="Times New Roman" w:eastAsia="宋体"/>
                <w:sz w:val="18"/>
              </w:rPr>
              <w:t>聚合渠道账期</w:t>
            </w:r>
          </w:p>
        </w:tc>
        <w:tc>
          <w:tcPr>
            <w:tcW w:type="dxa" w:w="3061"/>
            <w:shd w:val="clear" w:color="auto" w:fill="F7F8FA"/>
          </w:tcPr>
          <w:p>
            <w:pPr>
              <w:spacing w:after="40" w:before="40"/>
              <w:jc w:val="left"/>
            </w:pPr>
            <w:r>
              <w:rPr>
                <w:rFonts w:ascii="Times New Roman" w:hAnsi="Times New Roman" w:eastAsia="宋体"/>
                <w:sz w:val="18"/>
              </w:rPr>
              <w:t>45 天</w:t>
            </w:r>
          </w:p>
        </w:tc>
        <w:tc>
          <w:tcPr>
            <w:tcW w:type="dxa" w:w="3061"/>
            <w:shd w:val="clear" w:color="auto" w:fill="F7F8FA"/>
          </w:tcPr>
          <w:p>
            <w:pPr>
              <w:spacing w:after="40" w:before="40"/>
              <w:jc w:val="left"/>
            </w:pPr>
            <w:r>
              <w:rPr>
                <w:rFonts w:ascii="Times New Roman" w:hAnsi="Times New Roman" w:eastAsia="宋体"/>
                <w:sz w:val="18"/>
              </w:rPr>
              <w:t>OpenRouter 按月开票为事实（S-22），net-30 与开票周期为假设</w:t>
            </w:r>
          </w:p>
        </w:tc>
      </w:tr>
      <w:tr>
        <w:tc>
          <w:tcPr>
            <w:tcW w:type="dxa" w:w="3061"/>
          </w:tcPr>
          <w:p>
            <w:pPr>
              <w:spacing w:after="40" w:before="40"/>
              <w:jc w:val="left"/>
            </w:pPr>
            <w:r>
              <w:rPr>
                <w:rFonts w:ascii="Times New Roman" w:hAnsi="Times New Roman" w:eastAsia="宋体"/>
                <w:sz w:val="18"/>
              </w:rPr>
              <w:t>支付通道费率</w:t>
            </w:r>
          </w:p>
        </w:tc>
        <w:tc>
          <w:tcPr>
            <w:tcW w:type="dxa" w:w="3061"/>
          </w:tcPr>
          <w:p>
            <w:pPr>
              <w:spacing w:after="40" w:before="40"/>
              <w:jc w:val="left"/>
            </w:pPr>
            <w:r>
              <w:rPr>
                <w:rFonts w:ascii="Times New Roman" w:hAnsi="Times New Roman" w:eastAsia="宋体"/>
                <w:sz w:val="18"/>
              </w:rPr>
              <w:t>3.9% + $0.40/笔</w:t>
            </w:r>
          </w:p>
        </w:tc>
        <w:tc>
          <w:tcPr>
            <w:tcW w:type="dxa" w:w="3061"/>
          </w:tcPr>
          <w:p>
            <w:pPr>
              <w:spacing w:after="40" w:before="40"/>
              <w:jc w:val="left"/>
            </w:pPr>
            <w:r>
              <w:rPr>
                <w:rFonts w:ascii="Times New Roman" w:hAnsi="Times New Roman" w:eastAsia="宋体"/>
                <w:sz w:val="18"/>
              </w:rPr>
              <w:t xml:space="preserve">本仓 </w:t>
            </w:r>
            <w:r>
              <w:rPr>
                <w:rFonts w:ascii="Consolas" w:hAnsi="Consolas" w:eastAsia="Consolas"/>
                <w:sz w:val="17"/>
              </w:rPr>
              <w:t>PAYMENTS_SETUP.md</w:t>
            </w:r>
            <w:r>
              <w:rPr>
                <w:rFonts w:ascii="Times New Roman" w:hAnsi="Times New Roman" w:eastAsia="宋体"/>
                <w:sz w:val="18"/>
              </w:rPr>
              <w:t xml:space="preserve"> 的 Creem 记录商户费率</w:t>
            </w:r>
          </w:p>
        </w:tc>
      </w:tr>
      <w:tr>
        <w:tc>
          <w:tcPr>
            <w:tcW w:type="dxa" w:w="3061"/>
            <w:shd w:val="clear" w:color="auto" w:fill="F7F8FA"/>
          </w:tcPr>
          <w:p>
            <w:pPr>
              <w:spacing w:after="40" w:before="40"/>
              <w:jc w:val="left"/>
            </w:pPr>
            <w:r>
              <w:rPr>
                <w:rFonts w:ascii="Times New Roman" w:hAnsi="Times New Roman" w:eastAsia="宋体"/>
                <w:sz w:val="18"/>
              </w:rPr>
              <w:t>出租方成本模型</w:t>
            </w:r>
          </w:p>
        </w:tc>
        <w:tc>
          <w:tcPr>
            <w:tcW w:type="dxa" w:w="3061"/>
            <w:shd w:val="clear" w:color="auto" w:fill="F7F8FA"/>
          </w:tcPr>
          <w:p>
            <w:pPr>
              <w:spacing w:after="40" w:before="40"/>
              <w:jc w:val="left"/>
            </w:pPr>
            <w:r>
              <w:rPr>
                <w:rFonts w:ascii="Times New Roman" w:hAnsi="Times New Roman" w:eastAsia="宋体"/>
                <w:sz w:val="18"/>
              </w:rPr>
              <w:t>摊销 36 个月、融资 12%、合约功率 15 kW、负载因子 85%、PUE 1.25、网络 $1,000/月</w:t>
            </w:r>
          </w:p>
        </w:tc>
        <w:tc>
          <w:tcPr>
            <w:tcW w:type="dxa" w:w="3061"/>
            <w:shd w:val="clear" w:color="auto" w:fill="F7F8FA"/>
          </w:tcPr>
          <w:p>
            <w:pPr>
              <w:spacing w:after="40" w:before="40"/>
              <w:jc w:val="left"/>
            </w:pPr>
            <w:r>
              <w:rPr>
                <w:rFonts w:ascii="Times New Roman" w:hAnsi="Times New Roman" w:eastAsia="宋体"/>
                <w:sz w:val="18"/>
              </w:rPr>
              <w:t>用于判断报价对出租方是否可持续，</w:t>
            </w:r>
            <w:r>
              <w:rPr>
                <w:rFonts w:ascii="Times New Roman" w:hAnsi="Times New Roman" w:eastAsia="宋体"/>
                <w:b/>
                <w:sz w:val="18"/>
              </w:rPr>
              <w:t>不用于测算我方成本</w:t>
            </w:r>
            <w:r>
              <w:rPr>
                <w:rFonts w:ascii="Times New Roman" w:hAnsi="Times New Roman" w:eastAsia="宋体"/>
                <w:sz w:val="18"/>
              </w:rPr>
              <w:t>（我方成本就是合同租金本身）</w:t>
            </w:r>
          </w:p>
        </w:tc>
      </w:tr>
      <w:tr>
        <w:tc>
          <w:tcPr>
            <w:tcW w:type="dxa" w:w="3061"/>
          </w:tcPr>
          <w:p>
            <w:pPr>
              <w:spacing w:after="40" w:before="40"/>
              <w:jc w:val="left"/>
            </w:pPr>
            <w:r>
              <w:rPr>
                <w:rFonts w:ascii="Times New Roman" w:hAnsi="Times New Roman" w:eastAsia="宋体"/>
                <w:sz w:val="18"/>
              </w:rPr>
              <w:t>供给上限</w:t>
            </w:r>
          </w:p>
        </w:tc>
        <w:tc>
          <w:tcPr>
            <w:tcW w:type="dxa" w:w="3061"/>
          </w:tcPr>
          <w:p>
            <w:pPr>
              <w:spacing w:after="40" w:before="40"/>
              <w:jc w:val="left"/>
            </w:pPr>
            <w:r>
              <w:rPr>
                <w:rFonts w:ascii="Times New Roman" w:hAnsi="Times New Roman" w:eastAsia="宋体"/>
                <w:sz w:val="18"/>
              </w:rPr>
              <w:t>每季度最多加 1 台</w:t>
            </w:r>
          </w:p>
        </w:tc>
        <w:tc>
          <w:tcPr>
            <w:tcW w:type="dxa" w:w="3061"/>
          </w:tcPr>
          <w:p>
            <w:pPr>
              <w:spacing w:after="40" w:before="40"/>
              <w:jc w:val="left"/>
            </w:pPr>
            <w:r>
              <w:rPr>
                <w:rFonts w:ascii="Times New Roman" w:hAnsi="Times New Roman" w:eastAsia="宋体"/>
                <w:sz w:val="18"/>
              </w:rPr>
              <w:t>B300 仍属配额供应；Bit Origin 需通过收购第三方采购单才拿到 16 台</w:t>
            </w:r>
          </w:p>
        </w:tc>
      </w:tr>
      <w:tr>
        <w:tc>
          <w:tcPr>
            <w:tcW w:type="dxa" w:w="3061"/>
            <w:shd w:val="clear" w:color="auto" w:fill="F7F8FA"/>
          </w:tcPr>
          <w:p>
            <w:pPr>
              <w:spacing w:after="40" w:before="40"/>
              <w:jc w:val="left"/>
            </w:pPr>
            <w:r>
              <w:rPr>
                <w:rFonts w:ascii="Times New Roman" w:hAnsi="Times New Roman" w:eastAsia="宋体"/>
                <w:sz w:val="18"/>
              </w:rPr>
              <w:t>交付前置期</w:t>
            </w:r>
          </w:p>
        </w:tc>
        <w:tc>
          <w:tcPr>
            <w:tcW w:type="dxa" w:w="3061"/>
            <w:shd w:val="clear" w:color="auto" w:fill="F7F8FA"/>
          </w:tcPr>
          <w:p>
            <w:pPr>
              <w:spacing w:after="40" w:before="40"/>
              <w:jc w:val="left"/>
            </w:pPr>
            <w:r>
              <w:rPr>
                <w:rFonts w:ascii="Times New Roman" w:hAnsi="Times New Roman" w:eastAsia="宋体"/>
                <w:sz w:val="18"/>
              </w:rPr>
              <w:t>马来西亚 2 个月，其余 1 个月</w:t>
            </w:r>
          </w:p>
        </w:tc>
        <w:tc>
          <w:tcPr>
            <w:tcW w:type="dxa" w:w="3061"/>
            <w:shd w:val="clear" w:color="auto" w:fill="F7F8FA"/>
          </w:tcPr>
          <w:p>
            <w:pPr>
              <w:spacing w:after="40" w:before="40"/>
              <w:jc w:val="left"/>
            </w:pPr>
            <w:r>
              <w:rPr>
                <w:rFonts w:ascii="Times New Roman" w:hAnsi="Times New Roman" w:eastAsia="宋体"/>
                <w:sz w:val="18"/>
              </w:rPr>
              <w:t>马来西亚含 MITI 提前 30 天申报。均为估计</w:t>
            </w:r>
          </w:p>
        </w:tc>
      </w:tr>
      <w:tr>
        <w:tc>
          <w:tcPr>
            <w:tcW w:type="dxa" w:w="3061"/>
          </w:tcPr>
          <w:p>
            <w:pPr>
              <w:spacing w:after="40" w:before="40"/>
              <w:jc w:val="left"/>
            </w:pPr>
            <w:r>
              <w:rPr>
                <w:rFonts w:ascii="Times New Roman" w:hAnsi="Times New Roman" w:eastAsia="宋体"/>
                <w:sz w:val="18"/>
              </w:rPr>
              <w:t>折现率</w:t>
            </w:r>
          </w:p>
        </w:tc>
        <w:tc>
          <w:tcPr>
            <w:tcW w:type="dxa" w:w="3061"/>
          </w:tcPr>
          <w:p>
            <w:pPr>
              <w:spacing w:after="40" w:before="40"/>
              <w:jc w:val="left"/>
            </w:pPr>
            <w:r>
              <w:rPr>
                <w:rFonts w:ascii="Times New Roman" w:hAnsi="Times New Roman" w:eastAsia="宋体"/>
                <w:sz w:val="18"/>
              </w:rPr>
              <w:t>年化 12%</w:t>
            </w:r>
          </w:p>
        </w:tc>
        <w:tc>
          <w:tcPr>
            <w:tcW w:type="dxa" w:w="3061"/>
          </w:tcPr>
          <w:p>
            <w:pPr>
              <w:spacing w:after="40" w:before="40"/>
              <w:jc w:val="left"/>
            </w:pPr>
            <w:r>
              <w:rPr>
                <w:rFonts w:ascii="Times New Roman" w:hAnsi="Times New Roman" w:eastAsia="宋体"/>
                <w:sz w:val="18"/>
              </w:rPr>
              <w:t>用于尾部义务与清算期折现，取新兴市场算力资产融资成本量级</w:t>
            </w:r>
          </w:p>
        </w:tc>
      </w:tr>
    </w:tbl>
    <w:p>
      <w:pPr>
        <w:spacing w:after="80"/>
      </w:pPr>
    </w:p>
    <w:sectPr w:rsidR="00FC693F" w:rsidRPr="0006063C" w:rsidSect="00034616">
      <w:footerReference w:type="default" r:id="rId9"/>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0606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