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spacing w:before="320" w:after="120"/>
        <w:jc w:val="center"/>
      </w:pPr>
      <w:r>
        <w:rPr>
          <w:rFonts w:ascii="Segoe UI" w:hAnsi="Segoe UI" w:eastAsia="微软雅黑"/>
          <w:b/>
          <w:color w:val="1F3B63"/>
          <w:sz w:val="40"/>
        </w:rPr>
        <w:t>选址对比矩阵与 RFQ 询价清单</w:t>
      </w:r>
    </w:p>
    <w:p>
      <w:pPr>
        <w:spacing w:after="120" w:line="324" w:lineRule="auto"/>
      </w:pPr>
      <w:r>
        <w:rPr>
          <w:rFonts w:ascii="Times New Roman" w:hAnsi="Times New Roman" w:eastAsia="宋体"/>
          <w:sz w:val="21"/>
        </w:rPr>
        <w:t xml:space="preserve">本文件是 </w:t>
      </w:r>
      <w:r>
        <w:rPr>
          <w:rFonts w:ascii="Times New Roman" w:hAnsi="Times New Roman" w:eastAsia="宋体"/>
          <w:sz w:val="21"/>
        </w:rPr>
        <w:t>`01-投资可行性分析报告.md`</w:t>
      </w:r>
      <w:r>
        <w:rPr>
          <w:rFonts w:ascii="Times New Roman" w:hAnsi="Times New Roman" w:eastAsia="宋体"/>
          <w:color w:val="606060"/>
          <w:sz w:val="18"/>
        </w:rPr>
        <w:t>（01-投资可行性分析报告.md）</w:t>
      </w:r>
      <w:r>
        <w:rPr>
          <w:rFonts w:ascii="Times New Roman" w:hAnsi="Times New Roman" w:eastAsia="宋体"/>
          <w:sz w:val="21"/>
        </w:rPr>
        <w:t xml:space="preserve"> 第五节的展开。数字全部来自 </w:t>
      </w:r>
      <w:r>
        <w:rPr>
          <w:rFonts w:ascii="Times New Roman" w:hAnsi="Times New Roman" w:eastAsia="宋体"/>
          <w:sz w:val="21"/>
        </w:rPr>
        <w:t>`outputs/`</w:t>
      </w:r>
      <w:r>
        <w:rPr>
          <w:rFonts w:ascii="Times New Roman" w:hAnsi="Times New Roman" w:eastAsia="宋体"/>
          <w:color w:val="606060"/>
          <w:sz w:val="18"/>
        </w:rPr>
        <w:t>（outputs/）</w:t>
      </w:r>
      <w:r>
        <w:rPr>
          <w:rFonts w:ascii="Times New Roman" w:hAnsi="Times New Roman" w:eastAsia="宋体"/>
          <w:sz w:val="21"/>
        </w:rPr>
        <w:t xml:space="preserve">，可用 </w:t>
      </w:r>
      <w:r>
        <w:rPr>
          <w:rFonts w:ascii="Consolas" w:hAnsi="Consolas" w:eastAsia="Consolas"/>
          <w:sz w:val="20"/>
        </w:rPr>
        <w:t>python model/run_all.py</w:t>
      </w:r>
      <w:r>
        <w:rPr>
          <w:rFonts w:ascii="Times New Roman" w:hAnsi="Times New Roman" w:eastAsia="宋体"/>
          <w:sz w:val="21"/>
        </w:rPr>
        <w:t xml:space="preserve"> 复现。</w:t>
      </w:r>
    </w:p>
    <w:p>
      <w:pPr>
        <w:spacing w:after="120" w:line="324" w:lineRule="auto"/>
      </w:pPr>
      <w:r>
        <w:rPr>
          <w:rFonts w:ascii="Times New Roman" w:hAnsi="Times New Roman" w:eastAsia="宋体"/>
          <w:b/>
          <w:sz w:val="21"/>
        </w:rPr>
        <w:t>一条贯穿全文的标注规则</w:t>
      </w:r>
      <w:r>
        <w:rPr>
          <w:rFonts w:ascii="Times New Roman" w:hAnsi="Times New Roman" w:eastAsia="宋体"/>
          <w:sz w:val="21"/>
        </w:rPr>
        <w:t xml:space="preserve">：凡查到报价的标 </w:t>
      </w:r>
      <w:r>
        <w:rPr>
          <w:rFonts w:ascii="Times New Roman" w:hAnsi="Times New Roman" w:eastAsia="宋体"/>
          <w:b/>
          <w:sz w:val="21"/>
        </w:rPr>
        <w:t>quote</w:t>
      </w:r>
      <w:r>
        <w:rPr>
          <w:rFonts w:ascii="Times New Roman" w:hAnsi="Times New Roman" w:eastAsia="宋体"/>
          <w:sz w:val="21"/>
        </w:rPr>
        <w:t xml:space="preserve">；凡用比例推出来的标 </w:t>
      </w:r>
      <w:r>
        <w:rPr>
          <w:rFonts w:ascii="Times New Roman" w:hAnsi="Times New Roman" w:eastAsia="宋体"/>
          <w:b/>
          <w:sz w:val="21"/>
        </w:rPr>
        <w:t>estimate</w:t>
      </w:r>
      <w:r>
        <w:rPr>
          <w:rFonts w:ascii="Times New Roman" w:hAnsi="Times New Roman" w:eastAsia="宋体"/>
          <w:sz w:val="21"/>
        </w:rPr>
        <w:t>；凡查不到的</w:t>
      </w:r>
      <w:r>
        <w:rPr>
          <w:rFonts w:ascii="Times New Roman" w:hAnsi="Times New Roman" w:eastAsia="宋体"/>
          <w:b/>
          <w:sz w:val="21"/>
        </w:rPr>
        <w:t>留空并指向缺口编号</w:t>
      </w:r>
      <w:r>
        <w:rPr>
          <w:rFonts w:ascii="Times New Roman" w:hAnsi="Times New Roman" w:eastAsia="宋体"/>
          <w:sz w:val="21"/>
        </w:rPr>
        <w:t>。绝不用估计值冒充报价，也绝不用留空处的空白暗示"没有问题"。</w:t>
      </w:r>
    </w:p>
    <w:p>
      <w:pPr>
        <w:spacing w:before="40" w:after="160"/>
        <w:pBdr>
          <w:bottom w:val="single" w:sz="6" w:color="D0D0D0"/>
        </w:pBdr>
      </w:pPr>
    </w:p>
    <w:p>
      <w:pPr>
        <w:pStyle w:val="Heading2"/>
        <w:keepNext/>
        <w:spacing w:before="320" w:after="120"/>
      </w:pPr>
      <w:r>
        <w:rPr>
          <w:rFonts w:ascii="Segoe UI" w:hAnsi="Segoe UI" w:eastAsia="微软雅黑"/>
          <w:b/>
          <w:color w:val="1F3B63"/>
          <w:sz w:val="30"/>
        </w:rPr>
        <w:t>一、候选国是怎么筛出来的</w:t>
      </w:r>
    </w:p>
    <w:p>
      <w:pPr>
        <w:spacing w:after="120" w:line="324" w:lineRule="auto"/>
      </w:pPr>
      <w:r>
        <w:rPr>
          <w:rFonts w:ascii="Times New Roman" w:hAnsi="Times New Roman" w:eastAsia="宋体"/>
          <w:sz w:val="21"/>
        </w:rPr>
        <w:t>三层筛查的完整依据见主报告第三节。结果：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3061"/>
            <w:shd w:val="clear" w:color="auto" w:fill="1F3B63"/>
          </w:tcPr>
          <w:p>
            <w:pPr>
              <w:spacing w:after="40" w:before="4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国家</w:t>
            </w:r>
          </w:p>
        </w:tc>
        <w:tc>
          <w:tcPr>
            <w:tcW w:type="dxa" w:w="3061"/>
            <w:shd w:val="clear" w:color="auto" w:fill="1F3B63"/>
          </w:tcPr>
          <w:p>
            <w:pPr>
              <w:spacing w:after="40" w:before="4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层二 Country Group</w:t>
            </w:r>
          </w:p>
        </w:tc>
        <w:tc>
          <w:tcPr>
            <w:tcW w:type="dxa" w:w="3061"/>
            <w:shd w:val="clear" w:color="auto" w:fill="1F3B63"/>
          </w:tcPr>
          <w:p>
            <w:pPr>
              <w:spacing w:after="40" w:before="4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结论</w:t>
            </w:r>
          </w:p>
        </w:tc>
      </w:tr>
      <w:tr>
        <w:tc>
          <w:tcPr>
            <w:tcW w:type="dxa" w:w="3061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缅甸</w:t>
            </w:r>
          </w:p>
        </w:tc>
        <w:tc>
          <w:tcPr>
            <w:tcW w:type="dxa" w:w="3061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D:1, D:5</w:t>
            </w:r>
          </w:p>
        </w:tc>
        <w:tc>
          <w:tcPr>
            <w:tcW w:type="dxa" w:w="3061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b/>
                <w:sz w:val="18"/>
              </w:rPr>
              <w:t>排除</w:t>
            </w:r>
            <w:r>
              <w:rPr>
                <w:rFonts w:ascii="Times New Roman" w:hAnsi="Times New Roman" w:eastAsia="宋体"/>
                <w:sz w:val="18"/>
              </w:rPr>
              <w:t>：东南亚唯一仍在 D:5</w:t>
            </w:r>
          </w:p>
        </w:tc>
      </w:tr>
      <w:tr>
        <w:tc>
          <w:tcPr>
            <w:tcW w:type="dxa" w:w="3061"/>
            <w:shd w:val="clear" w:color="auto" w:fill="F7F8FA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柬埔寨</w:t>
            </w:r>
          </w:p>
        </w:tc>
        <w:tc>
          <w:tcPr>
            <w:tcW w:type="dxa" w:w="3061"/>
            <w:shd w:val="clear" w:color="auto" w:fill="F7F8FA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D:1</w:t>
            </w:r>
          </w:p>
        </w:tc>
        <w:tc>
          <w:tcPr>
            <w:tcW w:type="dxa" w:w="3061"/>
            <w:shd w:val="clear" w:color="auto" w:fill="F7F8FA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b/>
                <w:sz w:val="18"/>
              </w:rPr>
              <w:t>排除</w:t>
            </w:r>
            <w:r>
              <w:rPr>
                <w:rFonts w:ascii="Times New Roman" w:hAnsi="Times New Roman" w:eastAsia="宋体"/>
                <w:sz w:val="18"/>
              </w:rPr>
              <w:t>：2026-02-03 移出 D:5 但仍在 D:1</w:t>
            </w:r>
          </w:p>
        </w:tc>
      </w:tr>
      <w:tr>
        <w:tc>
          <w:tcPr>
            <w:tcW w:type="dxa" w:w="3061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越南</w:t>
            </w:r>
          </w:p>
        </w:tc>
        <w:tc>
          <w:tcPr>
            <w:tcW w:type="dxa" w:w="3061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D:1</w:t>
            </w:r>
          </w:p>
        </w:tc>
        <w:tc>
          <w:tcPr>
            <w:tcW w:type="dxa" w:w="3061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b/>
                <w:sz w:val="18"/>
              </w:rPr>
              <w:t>排除</w:t>
            </w:r>
            <w:r>
              <w:rPr>
                <w:rFonts w:ascii="Times New Roman" w:hAnsi="Times New Roman" w:eastAsia="宋体"/>
                <w:sz w:val="18"/>
              </w:rPr>
              <w:t>：FPT AI Factory 已有 HGX B300 现货，仍不可用</w:t>
            </w:r>
          </w:p>
        </w:tc>
      </w:tr>
      <w:tr>
        <w:tc>
          <w:tcPr>
            <w:tcW w:type="dxa" w:w="3061"/>
            <w:shd w:val="clear" w:color="auto" w:fill="F7F8FA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老挝</w:t>
            </w:r>
          </w:p>
        </w:tc>
        <w:tc>
          <w:tcPr>
            <w:tcW w:type="dxa" w:w="3061"/>
            <w:shd w:val="clear" w:color="auto" w:fill="F7F8FA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D:1</w:t>
            </w:r>
          </w:p>
        </w:tc>
        <w:tc>
          <w:tcPr>
            <w:tcW w:type="dxa" w:w="3061"/>
            <w:shd w:val="clear" w:color="auto" w:fill="F7F8FA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b/>
                <w:sz w:val="18"/>
              </w:rPr>
              <w:t>排除</w:t>
            </w:r>
          </w:p>
        </w:tc>
      </w:tr>
      <w:tr>
        <w:tc>
          <w:tcPr>
            <w:tcW w:type="dxa" w:w="3061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马来西亚</w:t>
            </w:r>
          </w:p>
        </w:tc>
        <w:tc>
          <w:tcPr>
            <w:tcW w:type="dxa" w:w="3061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未见于所查节录</w:t>
            </w:r>
          </w:p>
        </w:tc>
        <w:tc>
          <w:tcPr>
            <w:tcW w:type="dxa" w:w="3061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候选</w:t>
            </w:r>
          </w:p>
        </w:tc>
      </w:tr>
      <w:tr>
        <w:tc>
          <w:tcPr>
            <w:tcW w:type="dxa" w:w="3061"/>
            <w:shd w:val="clear" w:color="auto" w:fill="F7F8FA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泰国</w:t>
            </w:r>
          </w:p>
        </w:tc>
        <w:tc>
          <w:tcPr>
            <w:tcW w:type="dxa" w:w="3061"/>
            <w:shd w:val="clear" w:color="auto" w:fill="F7F8FA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未见于所查节录</w:t>
            </w:r>
          </w:p>
        </w:tc>
        <w:tc>
          <w:tcPr>
            <w:tcW w:type="dxa" w:w="3061"/>
            <w:shd w:val="clear" w:color="auto" w:fill="F7F8FA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候选</w:t>
            </w:r>
          </w:p>
        </w:tc>
      </w:tr>
      <w:tr>
        <w:tc>
          <w:tcPr>
            <w:tcW w:type="dxa" w:w="3061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印度尼西亚</w:t>
            </w:r>
          </w:p>
        </w:tc>
        <w:tc>
          <w:tcPr>
            <w:tcW w:type="dxa" w:w="3061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未见于所查节录</w:t>
            </w:r>
          </w:p>
        </w:tc>
        <w:tc>
          <w:tcPr>
            <w:tcW w:type="dxa" w:w="3061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候选</w:t>
            </w:r>
          </w:p>
        </w:tc>
      </w:tr>
      <w:tr>
        <w:tc>
          <w:tcPr>
            <w:tcW w:type="dxa" w:w="3061"/>
            <w:shd w:val="clear" w:color="auto" w:fill="F7F8FA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菲律宾</w:t>
            </w:r>
          </w:p>
        </w:tc>
        <w:tc>
          <w:tcPr>
            <w:tcW w:type="dxa" w:w="3061"/>
            <w:shd w:val="clear" w:color="auto" w:fill="F7F8FA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未见于所查节录</w:t>
            </w:r>
          </w:p>
        </w:tc>
        <w:tc>
          <w:tcPr>
            <w:tcW w:type="dxa" w:w="3061"/>
            <w:shd w:val="clear" w:color="auto" w:fill="F7F8FA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候选</w:t>
            </w:r>
          </w:p>
        </w:tc>
      </w:tr>
      <w:tr>
        <w:tc>
          <w:tcPr>
            <w:tcW w:type="dxa" w:w="3061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新加坡</w:t>
            </w:r>
          </w:p>
        </w:tc>
        <w:tc>
          <w:tcPr>
            <w:tcW w:type="dxa" w:w="3061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未见于所查节录</w:t>
            </w:r>
          </w:p>
        </w:tc>
        <w:tc>
          <w:tcPr>
            <w:tcW w:type="dxa" w:w="3061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成本上界对照</w:t>
            </w:r>
          </w:p>
        </w:tc>
      </w:tr>
    </w:tbl>
    <w:p>
      <w:pPr>
        <w:spacing w:after="80"/>
      </w:pPr>
    </w:p>
    <w:p>
      <w:pPr>
        <w:spacing w:after="120" w:line="324" w:lineRule="auto"/>
      </w:pPr>
      <w:r>
        <w:rPr>
          <w:rFonts w:ascii="Times New Roman" w:hAnsi="Times New Roman" w:eastAsia="宋体"/>
          <w:b/>
          <w:sz w:val="21"/>
        </w:rPr>
        <w:t>必须重复一遍的前提</w:t>
      </w:r>
      <w:r>
        <w:rPr>
          <w:rFonts w:ascii="Times New Roman" w:hAnsi="Times New Roman" w:eastAsia="宋体"/>
          <w:sz w:val="21"/>
        </w:rPr>
        <w:t>：层一（实体属性）的许可要求适用于"美国境外的一切目的地"，</w:t>
      </w:r>
      <w:r>
        <w:rPr>
          <w:rFonts w:ascii="Times New Roman" w:hAnsi="Times New Roman" w:eastAsia="宋体"/>
          <w:b/>
          <w:sz w:val="21"/>
        </w:rPr>
        <w:t>本表解决不了它</w:t>
      </w:r>
      <w:r>
        <w:rPr>
          <w:rFonts w:ascii="Times New Roman" w:hAnsi="Times New Roman" w:eastAsia="宋体"/>
          <w:sz w:val="21"/>
        </w:rPr>
        <w:t>。</w:t>
      </w:r>
    </w:p>
    <w:p>
      <w:pPr>
        <w:spacing w:before="40" w:after="160"/>
        <w:pBdr>
          <w:bottom w:val="single" w:sz="6" w:color="D0D0D0"/>
        </w:pBdr>
      </w:pPr>
    </w:p>
    <w:p>
      <w:pPr>
        <w:pStyle w:val="Heading2"/>
        <w:keepNext/>
        <w:spacing w:before="320" w:after="120"/>
      </w:pPr>
      <w:r>
        <w:rPr>
          <w:rFonts w:ascii="Segoe UI" w:hAnsi="Segoe UI" w:eastAsia="微软雅黑"/>
          <w:b/>
          <w:color w:val="1F3B63"/>
          <w:sz w:val="30"/>
        </w:rPr>
        <w:t>二、八维对比矩阵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31"/>
        <w:gridCol w:w="1531"/>
        <w:gridCol w:w="1531"/>
        <w:gridCol w:w="1531"/>
        <w:gridCol w:w="1531"/>
        <w:gridCol w:w="1531"/>
      </w:tblGrid>
      <w:tr>
        <w:tc>
          <w:tcPr>
            <w:tcW w:type="dxa" w:w="1531"/>
            <w:shd w:val="clear" w:color="auto" w:fill="1F3B63"/>
          </w:tcPr>
          <w:p>
            <w:pPr>
              <w:spacing w:after="40" w:before="4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维度</w:t>
            </w:r>
          </w:p>
        </w:tc>
        <w:tc>
          <w:tcPr>
            <w:tcW w:type="dxa" w:w="1531"/>
            <w:shd w:val="clear" w:color="auto" w:fill="1F3B63"/>
          </w:tcPr>
          <w:p>
            <w:pPr>
              <w:spacing w:after="40" w:before="4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泰国（曼谷）</w:t>
            </w:r>
          </w:p>
        </w:tc>
        <w:tc>
          <w:tcPr>
            <w:tcW w:type="dxa" w:w="1531"/>
            <w:shd w:val="clear" w:color="auto" w:fill="1F3B63"/>
          </w:tcPr>
          <w:p>
            <w:pPr>
              <w:spacing w:after="40" w:before="4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马来西亚（柔佛）</w:t>
            </w:r>
          </w:p>
        </w:tc>
        <w:tc>
          <w:tcPr>
            <w:tcW w:type="dxa" w:w="1531"/>
            <w:shd w:val="clear" w:color="auto" w:fill="1F3B63"/>
          </w:tcPr>
          <w:p>
            <w:pPr>
              <w:spacing w:after="40" w:before="4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印度尼西亚（雅加达）</w:t>
            </w:r>
          </w:p>
        </w:tc>
        <w:tc>
          <w:tcPr>
            <w:tcW w:type="dxa" w:w="1531"/>
            <w:shd w:val="clear" w:color="auto" w:fill="1F3B63"/>
          </w:tcPr>
          <w:p>
            <w:pPr>
              <w:spacing w:after="40" w:before="4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菲律宾</w:t>
            </w:r>
          </w:p>
        </w:tc>
        <w:tc>
          <w:tcPr>
            <w:tcW w:type="dxa" w:w="1531"/>
            <w:shd w:val="clear" w:color="auto" w:fill="1F3B63"/>
          </w:tcPr>
          <w:p>
            <w:pPr>
              <w:spacing w:after="40" w:before="4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新加坡（对照）</w:t>
            </w:r>
          </w:p>
        </w:tc>
      </w:tr>
      <w:tr>
        <w:tc>
          <w:tcPr>
            <w:tcW w:type="dxa" w:w="1531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b/>
                <w:sz w:val="18"/>
              </w:rPr>
              <w:t>1. 层二目的地</w:t>
            </w:r>
          </w:p>
        </w:tc>
        <w:tc>
          <w:tcPr>
            <w:tcW w:type="dxa" w:w="1531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通过</w:t>
            </w:r>
          </w:p>
        </w:tc>
        <w:tc>
          <w:tcPr>
            <w:tcW w:type="dxa" w:w="1531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通过</w:t>
            </w:r>
          </w:p>
        </w:tc>
        <w:tc>
          <w:tcPr>
            <w:tcW w:type="dxa" w:w="1531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通过</w:t>
            </w:r>
          </w:p>
        </w:tc>
        <w:tc>
          <w:tcPr>
            <w:tcW w:type="dxa" w:w="1531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通过</w:t>
            </w:r>
          </w:p>
        </w:tc>
        <w:tc>
          <w:tcPr>
            <w:tcW w:type="dxa" w:w="1531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通过</w:t>
            </w:r>
          </w:p>
        </w:tc>
      </w:tr>
      <w:tr>
        <w:tc>
          <w:tcPr>
            <w:tcW w:type="dxa" w:w="1531"/>
            <w:shd w:val="clear" w:color="auto" w:fill="F7F8FA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b/>
                <w:sz w:val="18"/>
              </w:rPr>
              <w:t>2. 层三东道国管制</w:t>
            </w:r>
          </w:p>
        </w:tc>
        <w:tc>
          <w:tcPr>
            <w:tcW w:type="dxa" w:w="1531"/>
            <w:shd w:val="clear" w:color="auto" w:fill="F7F8FA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未核实（G-4）</w:t>
            </w:r>
          </w:p>
        </w:tc>
        <w:tc>
          <w:tcPr>
            <w:tcW w:type="dxa" w:w="1531"/>
            <w:shd w:val="clear" w:color="auto" w:fill="F7F8FA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b/>
                <w:sz w:val="18"/>
              </w:rPr>
              <w:t>MITI Directive 1/2025</w:t>
            </w:r>
            <w:r>
              <w:rPr>
                <w:rFonts w:ascii="Times New Roman" w:hAnsi="Times New Roman" w:eastAsia="宋体"/>
                <w:sz w:val="18"/>
              </w:rPr>
              <w:t>：提前 30 天 AICA 申报，须附美国再出口许可</w:t>
            </w:r>
          </w:p>
        </w:tc>
        <w:tc>
          <w:tcPr>
            <w:tcW w:type="dxa" w:w="1531"/>
            <w:shd w:val="clear" w:color="auto" w:fill="F7F8FA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未核实（G-4）</w:t>
            </w:r>
          </w:p>
        </w:tc>
        <w:tc>
          <w:tcPr>
            <w:tcW w:type="dxa" w:w="1531"/>
            <w:shd w:val="clear" w:color="auto" w:fill="F7F8FA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未核实（G-4）</w:t>
            </w:r>
          </w:p>
        </w:tc>
        <w:tc>
          <w:tcPr>
            <w:tcW w:type="dxa" w:w="1531"/>
            <w:shd w:val="clear" w:color="auto" w:fill="F7F8FA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未核实（G-4）</w:t>
            </w:r>
          </w:p>
        </w:tc>
      </w:tr>
      <w:tr>
        <w:tc>
          <w:tcPr>
            <w:tcW w:type="dxa" w:w="1531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b/>
                <w:sz w:val="18"/>
              </w:rPr>
              <w:t>3. B300 可得性</w:t>
            </w:r>
          </w:p>
        </w:tc>
        <w:tc>
          <w:tcPr>
            <w:tcW w:type="dxa" w:w="1531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b/>
                <w:sz w:val="18"/>
              </w:rPr>
              <w:t>Freyr AI</w:t>
            </w:r>
            <w:r>
              <w:rPr>
                <w:rFonts w:ascii="Times New Roman" w:hAnsi="Times New Roman" w:eastAsia="宋体"/>
                <w:sz w:val="18"/>
              </w:rPr>
              <w:t>，首家将 B300/GB300 集群投入实际运营的 NVIDIA 云伙伴（NCP），已扩展 13 个市场</w:t>
            </w:r>
          </w:p>
        </w:tc>
        <w:tc>
          <w:tcPr>
            <w:tcW w:type="dxa" w:w="1531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b/>
                <w:sz w:val="18"/>
              </w:rPr>
              <w:t>Bit Origin</w:t>
            </w:r>
            <w:r>
              <w:rPr>
                <w:rFonts w:ascii="Times New Roman" w:hAnsi="Times New Roman" w:eastAsia="宋体"/>
                <w:sz w:val="18"/>
              </w:rPr>
              <w:t xml:space="preserve"> 16 台，2026Q3 交付，已有托管安排与签约客户</w:t>
            </w:r>
          </w:p>
        </w:tc>
        <w:tc>
          <w:tcPr>
            <w:tcW w:type="dxa" w:w="1531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Freyr AI 列为战略优先，尚无已投运公开案例</w:t>
            </w:r>
          </w:p>
        </w:tc>
        <w:tc>
          <w:tcPr>
            <w:tcW w:type="dxa" w:w="1531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无公开案例</w:t>
            </w:r>
          </w:p>
        </w:tc>
        <w:tc>
          <w:tcPr>
            <w:tcW w:type="dxa" w:w="1531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多家供应商可询价，价格最高</w:t>
            </w:r>
          </w:p>
        </w:tc>
      </w:tr>
      <w:tr>
        <w:tc>
          <w:tcPr>
            <w:tcW w:type="dxa" w:w="1531"/>
            <w:shd w:val="clear" w:color="auto" w:fill="F7F8FA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b/>
                <w:sz w:val="18"/>
              </w:rPr>
              <w:t>4. 托管价</w:t>
            </w:r>
          </w:p>
        </w:tc>
        <w:tc>
          <w:tcPr>
            <w:tcW w:type="dxa" w:w="1531"/>
            <w:shd w:val="clear" w:color="auto" w:fill="F7F8FA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$239.8/kW·月（</w:t>
            </w:r>
            <w:r>
              <w:rPr>
                <w:rFonts w:ascii="Times New Roman" w:hAnsi="Times New Roman" w:eastAsia="宋体"/>
                <w:b/>
                <w:sz w:val="18"/>
              </w:rPr>
              <w:t>estimate</w:t>
            </w:r>
            <w:r>
              <w:rPr>
                <w:rFonts w:ascii="Times New Roman" w:hAnsi="Times New Roman" w:eastAsia="宋体"/>
                <w:sz w:val="18"/>
              </w:rPr>
              <w:t>，G-1）</w:t>
            </w:r>
          </w:p>
        </w:tc>
        <w:tc>
          <w:tcPr>
            <w:tcW w:type="dxa" w:w="1531"/>
            <w:shd w:val="clear" w:color="auto" w:fill="F7F8FA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$261.5/kW·月（</w:t>
            </w:r>
            <w:r>
              <w:rPr>
                <w:rFonts w:ascii="Times New Roman" w:hAnsi="Times New Roman" w:eastAsia="宋体"/>
                <w:b/>
                <w:sz w:val="18"/>
              </w:rPr>
              <w:t>estimate</w:t>
            </w:r>
            <w:r>
              <w:rPr>
                <w:rFonts w:ascii="Times New Roman" w:hAnsi="Times New Roman" w:eastAsia="宋体"/>
                <w:sz w:val="18"/>
              </w:rPr>
              <w:t>，G-1）</w:t>
            </w:r>
          </w:p>
        </w:tc>
        <w:tc>
          <w:tcPr>
            <w:tcW w:type="dxa" w:w="1531"/>
            <w:shd w:val="clear" w:color="auto" w:fill="F7F8FA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$195.9/kW·月（</w:t>
            </w:r>
            <w:r>
              <w:rPr>
                <w:rFonts w:ascii="Times New Roman" w:hAnsi="Times New Roman" w:eastAsia="宋体"/>
                <w:b/>
                <w:sz w:val="18"/>
              </w:rPr>
              <w:t>estimate</w:t>
            </w:r>
            <w:r>
              <w:rPr>
                <w:rFonts w:ascii="Times New Roman" w:hAnsi="Times New Roman" w:eastAsia="宋体"/>
                <w:sz w:val="18"/>
              </w:rPr>
              <w:t>，G-1）</w:t>
            </w:r>
          </w:p>
        </w:tc>
        <w:tc>
          <w:tcPr>
            <w:tcW w:type="dxa" w:w="1531"/>
            <w:shd w:val="clear" w:color="auto" w:fill="F7F8FA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缺口 G-1</w:t>
            </w:r>
          </w:p>
        </w:tc>
        <w:tc>
          <w:tcPr>
            <w:tcW w:type="dxa" w:w="1531"/>
            <w:shd w:val="clear" w:color="auto" w:fill="F7F8FA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b/>
                <w:sz w:val="18"/>
              </w:rPr>
              <w:t>$403/kW·月（quote，CBRE）</w:t>
            </w:r>
          </w:p>
        </w:tc>
      </w:tr>
      <w:tr>
        <w:tc>
          <w:tcPr>
            <w:tcW w:type="dxa" w:w="1531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b/>
                <w:sz w:val="18"/>
              </w:rPr>
              <w:t>5. 电价</w:t>
            </w:r>
          </w:p>
        </w:tc>
        <w:tc>
          <w:tcPr>
            <w:tcW w:type="dxa" w:w="1531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缺口 G-2</w:t>
            </w:r>
          </w:p>
        </w:tc>
        <w:tc>
          <w:tcPr>
            <w:tcW w:type="dxa" w:w="1531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b/>
                <w:sz w:val="18"/>
              </w:rPr>
              <w:t>$0.120–0.130/kWh（quote）</w:t>
            </w:r>
          </w:p>
        </w:tc>
        <w:tc>
          <w:tcPr>
            <w:tcW w:type="dxa" w:w="1531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缺口 G-2</w:t>
            </w:r>
          </w:p>
        </w:tc>
        <w:tc>
          <w:tcPr>
            <w:tcW w:type="dxa" w:w="1531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缺口 G-2</w:t>
            </w:r>
          </w:p>
        </w:tc>
        <w:tc>
          <w:tcPr>
            <w:tcW w:type="dxa" w:w="1531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b/>
                <w:sz w:val="18"/>
              </w:rPr>
              <w:t>$0.150/kWh（quote）</w:t>
            </w:r>
          </w:p>
        </w:tc>
      </w:tr>
      <w:tr>
        <w:tc>
          <w:tcPr>
            <w:tcW w:type="dxa" w:w="1531"/>
            <w:shd w:val="clear" w:color="auto" w:fill="F7F8FA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b/>
                <w:sz w:val="18"/>
              </w:rPr>
              <w:t>6. 空置率与议价力</w:t>
            </w:r>
          </w:p>
        </w:tc>
        <w:tc>
          <w:tcPr>
            <w:tcW w:type="dxa" w:w="1531"/>
            <w:shd w:val="clear" w:color="auto" w:fill="F7F8FA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b/>
                <w:sz w:val="18"/>
              </w:rPr>
              <w:t>23.3%，买方市场</w:t>
            </w:r>
          </w:p>
        </w:tc>
        <w:tc>
          <w:tcPr>
            <w:tcW w:type="dxa" w:w="1531"/>
            <w:shd w:val="clear" w:color="auto" w:fill="F7F8FA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b/>
                <w:sz w:val="18"/>
              </w:rPr>
              <w:t>0.7%，极度卖方市场</w:t>
            </w:r>
          </w:p>
        </w:tc>
        <w:tc>
          <w:tcPr>
            <w:tcW w:type="dxa" w:w="1531"/>
            <w:shd w:val="clear" w:color="auto" w:fill="F7F8FA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b/>
                <w:sz w:val="18"/>
              </w:rPr>
              <w:t>20.5%，买方市场</w:t>
            </w:r>
          </w:p>
        </w:tc>
        <w:tc>
          <w:tcPr>
            <w:tcW w:type="dxa" w:w="1531"/>
            <w:shd w:val="clear" w:color="auto" w:fill="F7F8FA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无数据</w:t>
            </w:r>
          </w:p>
        </w:tc>
        <w:tc>
          <w:tcPr>
            <w:tcW w:type="dxa" w:w="1531"/>
            <w:shd w:val="clear" w:color="auto" w:fill="F7F8FA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4.9%，卖方市场</w:t>
            </w:r>
          </w:p>
        </w:tc>
      </w:tr>
      <w:tr>
        <w:tc>
          <w:tcPr>
            <w:tcW w:type="dxa" w:w="1531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b/>
                <w:sz w:val="18"/>
              </w:rPr>
              <w:t>7. 网络延迟</w:t>
            </w:r>
          </w:p>
        </w:tc>
        <w:tc>
          <w:tcPr>
            <w:tcW w:type="dxa" w:w="1531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到美西 200 ms；TTFT 均值 766.7 ms（+4.78%）</w:t>
            </w:r>
          </w:p>
        </w:tc>
        <w:tc>
          <w:tcPr>
            <w:tcW w:type="dxa" w:w="1531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到美西 180 ms；TTFT 均值 746.7 ms（+2.05%）</w:t>
            </w:r>
          </w:p>
        </w:tc>
        <w:tc>
          <w:tcPr>
            <w:tcW w:type="dxa" w:w="1531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到美西 180 ms；TTFT 均值 746.7 ms（+2.05%）</w:t>
            </w:r>
          </w:p>
        </w:tc>
        <w:tc>
          <w:tcPr>
            <w:tcW w:type="dxa" w:w="1531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缺口 G-3</w:t>
            </w:r>
          </w:p>
        </w:tc>
        <w:tc>
          <w:tcPr>
            <w:tcW w:type="dxa" w:w="1531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到美西 165 ms；TTFT 均值 731.7 ms</w:t>
            </w:r>
          </w:p>
        </w:tc>
      </w:tr>
      <w:tr>
        <w:tc>
          <w:tcPr>
            <w:tcW w:type="dxa" w:w="1531"/>
            <w:shd w:val="clear" w:color="auto" w:fill="F7F8FA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b/>
                <w:sz w:val="18"/>
              </w:rPr>
              <w:t>8. 企业所得税</w:t>
            </w:r>
          </w:p>
        </w:tc>
        <w:tc>
          <w:tcPr>
            <w:tcW w:type="dxa" w:w="1531"/>
            <w:shd w:val="clear" w:color="auto" w:fill="F7F8FA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b/>
                <w:sz w:val="18"/>
              </w:rPr>
              <w:t>20%</w:t>
            </w:r>
          </w:p>
        </w:tc>
        <w:tc>
          <w:tcPr>
            <w:tcW w:type="dxa" w:w="1531"/>
            <w:shd w:val="clear" w:color="auto" w:fill="F7F8FA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24%</w:t>
            </w:r>
          </w:p>
        </w:tc>
        <w:tc>
          <w:tcPr>
            <w:tcW w:type="dxa" w:w="1531"/>
            <w:shd w:val="clear" w:color="auto" w:fill="F7F8FA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22%</w:t>
            </w:r>
          </w:p>
        </w:tc>
        <w:tc>
          <w:tcPr>
            <w:tcW w:type="dxa" w:w="1531"/>
            <w:shd w:val="clear" w:color="auto" w:fill="F7F8FA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25%</w:t>
            </w:r>
          </w:p>
        </w:tc>
        <w:tc>
          <w:tcPr>
            <w:tcW w:type="dxa" w:w="1531"/>
            <w:shd w:val="clear" w:color="auto" w:fill="F7F8FA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17%（新创减免后首年有效 5.74%）</w:t>
            </w:r>
          </w:p>
        </w:tc>
      </w:tr>
      <w:tr>
        <w:tc>
          <w:tcPr>
            <w:tcW w:type="dxa" w:w="1531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交付前置期</w:t>
            </w:r>
          </w:p>
        </w:tc>
        <w:tc>
          <w:tcPr>
            <w:tcW w:type="dxa" w:w="1531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1 个月</w:t>
            </w:r>
          </w:p>
        </w:tc>
        <w:tc>
          <w:tcPr>
            <w:tcW w:type="dxa" w:w="1531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2 个月（含 MITI 30 天）</w:t>
            </w:r>
          </w:p>
        </w:tc>
        <w:tc>
          <w:tcPr>
            <w:tcW w:type="dxa" w:w="1531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1 个月</w:t>
            </w:r>
          </w:p>
        </w:tc>
        <w:tc>
          <w:tcPr>
            <w:tcW w:type="dxa" w:w="1531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1 个月</w:t>
            </w:r>
          </w:p>
        </w:tc>
        <w:tc>
          <w:tcPr>
            <w:tcW w:type="dxa" w:w="1531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1 个月</w:t>
            </w:r>
          </w:p>
        </w:tc>
      </w:tr>
      <w:tr>
        <w:tc>
          <w:tcPr>
            <w:tcW w:type="dxa" w:w="1531"/>
            <w:shd w:val="clear" w:color="auto" w:fill="F7F8FA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出口服务消费税</w:t>
            </w:r>
          </w:p>
        </w:tc>
        <w:tc>
          <w:tcPr>
            <w:tcW w:type="dxa" w:w="1531"/>
            <w:shd w:val="clear" w:color="auto" w:fill="F7F8FA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未核实</w:t>
            </w:r>
          </w:p>
        </w:tc>
        <w:tc>
          <w:tcPr>
            <w:tcW w:type="dxa" w:w="1531"/>
            <w:shd w:val="clear" w:color="auto" w:fill="F7F8FA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标的在境外一般不适用服务税</w:t>
            </w:r>
          </w:p>
        </w:tc>
        <w:tc>
          <w:tcPr>
            <w:tcW w:type="dxa" w:w="1531"/>
            <w:shd w:val="clear" w:color="auto" w:fill="F7F8FA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未核实</w:t>
            </w:r>
          </w:p>
        </w:tc>
        <w:tc>
          <w:tcPr>
            <w:tcW w:type="dxa" w:w="1531"/>
            <w:shd w:val="clear" w:color="auto" w:fill="F7F8FA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出口 0% VAT</w:t>
            </w:r>
          </w:p>
        </w:tc>
        <w:tc>
          <w:tcPr>
            <w:tcW w:type="dxa" w:w="1531"/>
            <w:shd w:val="clear" w:color="auto" w:fill="F7F8FA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零税率且可抵进项</w:t>
            </w:r>
          </w:p>
        </w:tc>
      </w:tr>
    </w:tbl>
    <w:p>
      <w:pPr>
        <w:spacing w:after="80"/>
      </w:pPr>
    </w:p>
    <w:p>
      <w:pPr>
        <w:spacing w:after="120" w:line="324" w:lineRule="auto"/>
      </w:pPr>
      <w:r>
        <w:rPr>
          <w:rFonts w:ascii="Times New Roman" w:hAnsi="Times New Roman" w:eastAsia="宋体"/>
          <w:sz w:val="21"/>
        </w:rPr>
        <w:t>来源：</w:t>
      </w:r>
      <w:r>
        <w:rPr>
          <w:rFonts w:ascii="Times New Roman" w:hAnsi="Times New Roman" w:eastAsia="宋体"/>
          <w:sz w:val="21"/>
        </w:rPr>
        <w:t>`outputs/03_siting_matrix.csv`</w:t>
      </w:r>
      <w:r>
        <w:rPr>
          <w:rFonts w:ascii="Times New Roman" w:hAnsi="Times New Roman" w:eastAsia="宋体"/>
          <w:color w:val="606060"/>
          <w:sz w:val="18"/>
        </w:rPr>
        <w:t>（outputs/03_siting_matrix.csv）</w:t>
      </w:r>
      <w:r>
        <w:rPr>
          <w:rFonts w:ascii="Times New Roman" w:hAnsi="Times New Roman" w:eastAsia="宋体"/>
          <w:sz w:val="21"/>
        </w:rPr>
        <w:t>、</w:t>
      </w:r>
      <w:r>
        <w:rPr>
          <w:rFonts w:ascii="Times New Roman" w:hAnsi="Times New Roman" w:eastAsia="宋体"/>
          <w:sz w:val="21"/>
        </w:rPr>
        <w:t>`outputs/03_latency_slo.csv`</w:t>
      </w:r>
      <w:r>
        <w:rPr>
          <w:rFonts w:ascii="Times New Roman" w:hAnsi="Times New Roman" w:eastAsia="宋体"/>
          <w:color w:val="606060"/>
          <w:sz w:val="18"/>
        </w:rPr>
        <w:t>（outputs/03_latency_slo.csv）</w:t>
      </w:r>
      <w:r>
        <w:rPr>
          <w:rFonts w:ascii="Times New Roman" w:hAnsi="Times New Roman" w:eastAsia="宋体"/>
          <w:sz w:val="21"/>
        </w:rPr>
        <w:t>、</w:t>
      </w:r>
      <w:r>
        <w:rPr>
          <w:rFonts w:ascii="Times New Roman" w:hAnsi="Times New Roman" w:eastAsia="宋体"/>
          <w:sz w:val="21"/>
        </w:rPr>
        <w:t>`outputs/03_negotiating_power.csv`</w:t>
      </w:r>
      <w:r>
        <w:rPr>
          <w:rFonts w:ascii="Times New Roman" w:hAnsi="Times New Roman" w:eastAsia="宋体"/>
          <w:color w:val="606060"/>
          <w:sz w:val="18"/>
        </w:rPr>
        <w:t>（outputs/03_negotiating_power.csv）</w:t>
      </w:r>
    </w:p>
    <w:p>
      <w:pPr>
        <w:spacing w:before="40" w:after="160"/>
        <w:pBdr>
          <w:bottom w:val="single" w:sz="6" w:color="D0D0D0"/>
        </w:pBdr>
      </w:pPr>
    </w:p>
    <w:p>
      <w:pPr>
        <w:pStyle w:val="Heading2"/>
        <w:keepNext/>
        <w:spacing w:before="320" w:after="120"/>
      </w:pPr>
      <w:r>
        <w:rPr>
          <w:rFonts w:ascii="Segoe UI" w:hAnsi="Segoe UI" w:eastAsia="微软雅黑"/>
          <w:b/>
          <w:color w:val="1F3B63"/>
          <w:sz w:val="30"/>
        </w:rPr>
        <w:t>三、三条与直觉相反的结论</w:t>
      </w:r>
    </w:p>
    <w:p>
      <w:pPr>
        <w:pStyle w:val="Heading3"/>
        <w:keepNext/>
        <w:spacing w:before="200" w:after="120"/>
      </w:pPr>
      <w:r>
        <w:rPr>
          <w:rFonts w:ascii="Segoe UI" w:hAnsi="Segoe UI" w:eastAsia="微软雅黑"/>
          <w:b/>
          <w:color w:val="1F3B63"/>
          <w:sz w:val="25"/>
        </w:rPr>
        <w:t>3.1 延迟不是选址的决定因素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31"/>
        <w:gridCol w:w="1531"/>
        <w:gridCol w:w="1531"/>
        <w:gridCol w:w="1531"/>
        <w:gridCol w:w="1531"/>
        <w:gridCol w:w="1531"/>
      </w:tblGrid>
      <w:tr>
        <w:tc>
          <w:tcPr>
            <w:tcW w:type="dxa" w:w="1531"/>
            <w:shd w:val="clear" w:color="auto" w:fill="1F3B63"/>
          </w:tcPr>
          <w:p>
            <w:pPr>
              <w:spacing w:after="40" w:before="4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算力地</w:t>
            </w:r>
          </w:p>
        </w:tc>
        <w:tc>
          <w:tcPr>
            <w:tcW w:type="dxa" w:w="1531"/>
            <w:shd w:val="clear" w:color="auto" w:fill="1F3B63"/>
          </w:tcPr>
          <w:p>
            <w:pPr>
              <w:spacing w:after="40" w:before="4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到美西 RTT</w:t>
            </w:r>
          </w:p>
        </w:tc>
        <w:tc>
          <w:tcPr>
            <w:tcW w:type="dxa" w:w="1531"/>
            <w:shd w:val="clear" w:color="auto" w:fill="1F3B63"/>
          </w:tcPr>
          <w:p>
            <w:pPr>
              <w:spacing w:after="40" w:before="4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TTFT 均值</w:t>
            </w:r>
          </w:p>
        </w:tc>
        <w:tc>
          <w:tcPr>
            <w:tcW w:type="dxa" w:w="1531"/>
            <w:shd w:val="clear" w:color="auto" w:fill="1F3B63"/>
          </w:tcPr>
          <w:p>
            <w:pPr>
              <w:spacing w:after="40" w:before="4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相对新加坡恶化</w:t>
            </w:r>
          </w:p>
        </w:tc>
        <w:tc>
          <w:tcPr>
            <w:tcW w:type="dxa" w:w="1531"/>
            <w:shd w:val="clear" w:color="auto" w:fill="1F3B63"/>
          </w:tcPr>
          <w:p>
            <w:pPr>
              <w:spacing w:after="40" w:before="4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均值达标（≤1s）</w:t>
            </w:r>
          </w:p>
        </w:tc>
        <w:tc>
          <w:tcPr>
            <w:tcW w:type="dxa" w:w="1531"/>
            <w:shd w:val="clear" w:color="auto" w:fill="1F3B63"/>
          </w:tcPr>
          <w:p>
            <w:pPr>
              <w:spacing w:after="40" w:before="4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P90 达标</w:t>
            </w:r>
          </w:p>
        </w:tc>
      </w:tr>
      <w:tr>
        <w:tc>
          <w:tcPr>
            <w:tcW w:type="dxa" w:w="1531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新加坡</w:t>
            </w:r>
          </w:p>
        </w:tc>
        <w:tc>
          <w:tcPr>
            <w:tcW w:type="dxa" w:w="1531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>165 ms</w:t>
            </w:r>
          </w:p>
        </w:tc>
        <w:tc>
          <w:tcPr>
            <w:tcW w:type="dxa" w:w="1531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>731.7 ms</w:t>
            </w:r>
          </w:p>
        </w:tc>
        <w:tc>
          <w:tcPr>
            <w:tcW w:type="dxa" w:w="1531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>—</w:t>
            </w:r>
          </w:p>
        </w:tc>
        <w:tc>
          <w:tcPr>
            <w:tcW w:type="dxa" w:w="1531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b/>
                <w:sz w:val="18"/>
              </w:rPr>
              <w:t>否（1,107 ms）</w:t>
            </w:r>
          </w:p>
        </w:tc>
      </w:tr>
      <w:tr>
        <w:tc>
          <w:tcPr>
            <w:tcW w:type="dxa" w:w="1531"/>
            <w:shd w:val="clear" w:color="auto" w:fill="F7F8FA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马来西亚</w:t>
            </w:r>
          </w:p>
        </w:tc>
        <w:tc>
          <w:tcPr>
            <w:tcW w:type="dxa" w:w="1531"/>
            <w:shd w:val="clear" w:color="auto" w:fill="F7F8FA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>180 ms</w:t>
            </w:r>
          </w:p>
        </w:tc>
        <w:tc>
          <w:tcPr>
            <w:tcW w:type="dxa" w:w="1531"/>
            <w:shd w:val="clear" w:color="auto" w:fill="F7F8FA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>746.7 ms</w:t>
            </w:r>
          </w:p>
        </w:tc>
        <w:tc>
          <w:tcPr>
            <w:tcW w:type="dxa" w:w="1531"/>
            <w:shd w:val="clear" w:color="auto" w:fill="F7F8FA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>+2.05%</w:t>
            </w:r>
          </w:p>
        </w:tc>
        <w:tc>
          <w:tcPr>
            <w:tcW w:type="dxa" w:w="1531"/>
            <w:shd w:val="clear" w:color="auto" w:fill="F7F8FA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是</w:t>
            </w:r>
          </w:p>
        </w:tc>
        <w:tc>
          <w:tcPr>
            <w:tcW w:type="dxa" w:w="1531"/>
            <w:shd w:val="clear" w:color="auto" w:fill="F7F8FA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b/>
                <w:sz w:val="18"/>
              </w:rPr>
              <w:t>否（1,122 ms）</w:t>
            </w:r>
          </w:p>
        </w:tc>
      </w:tr>
      <w:tr>
        <w:tc>
          <w:tcPr>
            <w:tcW w:type="dxa" w:w="1531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印度尼西亚</w:t>
            </w:r>
          </w:p>
        </w:tc>
        <w:tc>
          <w:tcPr>
            <w:tcW w:type="dxa" w:w="1531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>180 ms</w:t>
            </w:r>
          </w:p>
        </w:tc>
        <w:tc>
          <w:tcPr>
            <w:tcW w:type="dxa" w:w="1531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>746.7 ms</w:t>
            </w:r>
          </w:p>
        </w:tc>
        <w:tc>
          <w:tcPr>
            <w:tcW w:type="dxa" w:w="1531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>+2.05%</w:t>
            </w:r>
          </w:p>
        </w:tc>
        <w:tc>
          <w:tcPr>
            <w:tcW w:type="dxa" w:w="1531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b/>
                <w:sz w:val="18"/>
              </w:rPr>
              <w:t>否（1,122 ms）</w:t>
            </w:r>
          </w:p>
        </w:tc>
      </w:tr>
      <w:tr>
        <w:tc>
          <w:tcPr>
            <w:tcW w:type="dxa" w:w="1531"/>
            <w:shd w:val="clear" w:color="auto" w:fill="F7F8FA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泰国</w:t>
            </w:r>
          </w:p>
        </w:tc>
        <w:tc>
          <w:tcPr>
            <w:tcW w:type="dxa" w:w="1531"/>
            <w:shd w:val="clear" w:color="auto" w:fill="F7F8FA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>200 ms</w:t>
            </w:r>
          </w:p>
        </w:tc>
        <w:tc>
          <w:tcPr>
            <w:tcW w:type="dxa" w:w="1531"/>
            <w:shd w:val="clear" w:color="auto" w:fill="F7F8FA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>766.7 ms</w:t>
            </w:r>
          </w:p>
        </w:tc>
        <w:tc>
          <w:tcPr>
            <w:tcW w:type="dxa" w:w="1531"/>
            <w:shd w:val="clear" w:color="auto" w:fill="F7F8FA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>+4.78%</w:t>
            </w:r>
          </w:p>
        </w:tc>
        <w:tc>
          <w:tcPr>
            <w:tcW w:type="dxa" w:w="1531"/>
            <w:shd w:val="clear" w:color="auto" w:fill="F7F8FA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是</w:t>
            </w:r>
          </w:p>
        </w:tc>
        <w:tc>
          <w:tcPr>
            <w:tcW w:type="dxa" w:w="1531"/>
            <w:shd w:val="clear" w:color="auto" w:fill="F7F8FA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b/>
                <w:sz w:val="18"/>
              </w:rPr>
              <w:t>否（1,142 ms）</w:t>
            </w:r>
          </w:p>
        </w:tc>
      </w:tr>
    </w:tbl>
    <w:p>
      <w:pPr>
        <w:spacing w:after="80"/>
      </w:pPr>
    </w:p>
    <w:p>
      <w:pPr>
        <w:spacing w:after="120" w:line="324" w:lineRule="auto"/>
      </w:pPr>
      <w:r>
        <w:rPr>
          <w:rFonts w:ascii="Times New Roman" w:hAnsi="Times New Roman" w:eastAsia="宋体"/>
          <w:b/>
          <w:sz w:val="21"/>
        </w:rPr>
        <w:t>P90 TTFT 在新加坡就已经超过 1 秒 SLO。</w:t>
      </w:r>
      <w:r>
        <w:rPr>
          <w:rFonts w:ascii="Times New Roman" w:hAnsi="Times New Roman" w:eastAsia="宋体"/>
          <w:sz w:val="21"/>
        </w:rPr>
        <w:t xml:space="preserve"> 瓶颈在模型与并发，不在选址；选址贡献的 2.05%–4.78% 是二阶小量。</w:t>
      </w:r>
    </w:p>
    <w:p>
      <w:pPr>
        <w:spacing w:after="120" w:line="324" w:lineRule="auto"/>
      </w:pPr>
      <w:r>
        <w:rPr>
          <w:rFonts w:ascii="Times New Roman" w:hAnsi="Times New Roman" w:eastAsia="宋体"/>
          <w:b/>
          <w:sz w:val="21"/>
        </w:rPr>
        <w:t>本报告不构造"延迟 → 流量份额"的弹性映射</w:t>
      </w:r>
      <w:r>
        <w:rPr>
          <w:rFonts w:ascii="Times New Roman" w:hAnsi="Times New Roman" w:eastAsia="宋体"/>
          <w:sz w:val="21"/>
        </w:rPr>
        <w:t>——那个映射没有公开数据（缺口 G-6）。编一个出来会让整条结论链失去可检验性。</w:t>
      </w:r>
    </w:p>
    <w:p>
      <w:pPr>
        <w:pStyle w:val="Heading3"/>
        <w:keepNext/>
        <w:spacing w:before="200" w:after="120"/>
      </w:pPr>
      <w:r>
        <w:rPr>
          <w:rFonts w:ascii="Segoe UI" w:hAnsi="Segoe UI" w:eastAsia="微软雅黑"/>
          <w:b/>
          <w:color w:val="1F3B63"/>
          <w:sz w:val="25"/>
        </w:rPr>
        <w:t>3.2 柔佛电价便宜，但你拿不到好价钱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3061"/>
            <w:shd w:val="clear" w:color="auto" w:fill="1F3B63"/>
          </w:tcPr>
          <w:p>
            <w:pPr>
              <w:spacing w:after="40" w:before="4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市场</w:t>
            </w:r>
          </w:p>
        </w:tc>
        <w:tc>
          <w:tcPr>
            <w:tcW w:type="dxa" w:w="3061"/>
            <w:shd w:val="clear" w:color="auto" w:fill="1F3B63"/>
          </w:tcPr>
          <w:p>
            <w:pPr>
              <w:spacing w:after="40" w:before="4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空置率</w:t>
            </w:r>
          </w:p>
        </w:tc>
        <w:tc>
          <w:tcPr>
            <w:tcW w:type="dxa" w:w="3061"/>
            <w:shd w:val="clear" w:color="auto" w:fill="1F3B63"/>
          </w:tcPr>
          <w:p>
            <w:pPr>
              <w:spacing w:after="40" w:before="4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市场性质</w:t>
            </w:r>
          </w:p>
        </w:tc>
      </w:tr>
      <w:tr>
        <w:tc>
          <w:tcPr>
            <w:tcW w:type="dxa" w:w="3061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泰国 曼谷</w:t>
            </w:r>
          </w:p>
        </w:tc>
        <w:tc>
          <w:tcPr>
            <w:tcW w:type="dxa" w:w="3061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>23.3%</w:t>
            </w:r>
          </w:p>
        </w:tc>
        <w:tc>
          <w:tcPr>
            <w:tcW w:type="dxa" w:w="3061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买方市场</w:t>
            </w:r>
          </w:p>
        </w:tc>
      </w:tr>
      <w:tr>
        <w:tc>
          <w:tcPr>
            <w:tcW w:type="dxa" w:w="3061"/>
            <w:shd w:val="clear" w:color="auto" w:fill="F7F8FA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印尼 雅加达</w:t>
            </w:r>
          </w:p>
        </w:tc>
        <w:tc>
          <w:tcPr>
            <w:tcW w:type="dxa" w:w="3061"/>
            <w:shd w:val="clear" w:color="auto" w:fill="F7F8FA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>20.5%</w:t>
            </w:r>
          </w:p>
        </w:tc>
        <w:tc>
          <w:tcPr>
            <w:tcW w:type="dxa" w:w="3061"/>
            <w:shd w:val="clear" w:color="auto" w:fill="F7F8FA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买方市场</w:t>
            </w:r>
          </w:p>
        </w:tc>
      </w:tr>
      <w:tr>
        <w:tc>
          <w:tcPr>
            <w:tcW w:type="dxa" w:w="3061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新加坡</w:t>
            </w:r>
          </w:p>
        </w:tc>
        <w:tc>
          <w:tcPr>
            <w:tcW w:type="dxa" w:w="3061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>4.9%</w:t>
            </w:r>
          </w:p>
        </w:tc>
        <w:tc>
          <w:tcPr>
            <w:tcW w:type="dxa" w:w="3061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卖方市场</w:t>
            </w:r>
          </w:p>
        </w:tc>
      </w:tr>
      <w:tr>
        <w:tc>
          <w:tcPr>
            <w:tcW w:type="dxa" w:w="3061"/>
            <w:shd w:val="clear" w:color="auto" w:fill="F7F8FA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b/>
                <w:sz w:val="18"/>
              </w:rPr>
              <w:t>马来西亚 柔佛</w:t>
            </w:r>
          </w:p>
        </w:tc>
        <w:tc>
          <w:tcPr>
            <w:tcW w:type="dxa" w:w="3061"/>
            <w:shd w:val="clear" w:color="auto" w:fill="F7F8FA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b/>
                <w:sz w:val="18"/>
              </w:rPr>
              <w:t>0.7%</w:t>
            </w:r>
          </w:p>
        </w:tc>
        <w:tc>
          <w:tcPr>
            <w:tcW w:type="dxa" w:w="3061"/>
            <w:shd w:val="clear" w:color="auto" w:fill="F7F8FA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b/>
                <w:sz w:val="18"/>
              </w:rPr>
              <w:t>极度卖方市场</w:t>
            </w:r>
          </w:p>
        </w:tc>
      </w:tr>
    </w:tbl>
    <w:p>
      <w:pPr>
        <w:spacing w:after="80"/>
      </w:pPr>
    </w:p>
    <w:p>
      <w:pPr>
        <w:spacing w:after="120" w:line="324" w:lineRule="auto"/>
      </w:pPr>
      <w:r>
        <w:rPr>
          <w:rFonts w:ascii="Times New Roman" w:hAnsi="Times New Roman" w:eastAsia="宋体"/>
          <w:sz w:val="21"/>
        </w:rPr>
        <w:t>柔佛电价（$0.120–0.130/kWh）确实低于新加坡（$0.150/kWh），但</w:t>
      </w:r>
      <w:r>
        <w:rPr>
          <w:rFonts w:ascii="Times New Roman" w:hAnsi="Times New Roman" w:eastAsia="宋体"/>
          <w:b/>
          <w:sz w:val="21"/>
        </w:rPr>
        <w:t>差距远小于普遍认知</w:t>
      </w:r>
      <w:r>
        <w:rPr>
          <w:rFonts w:ascii="Times New Roman" w:hAnsi="Times New Roman" w:eastAsia="宋体"/>
          <w:sz w:val="21"/>
        </w:rPr>
        <w:t>（约 15%–20%，不是数倍）。真正的成本差异在托管租金与土地。而</w:t>
      </w:r>
      <w:r>
        <w:rPr>
          <w:rFonts w:ascii="Times New Roman" w:hAnsi="Times New Roman" w:eastAsia="宋体"/>
          <w:b/>
          <w:sz w:val="21"/>
        </w:rPr>
        <w:t>能否把成本优势转化为你的价格，取决于空置率</w:t>
      </w:r>
      <w:r>
        <w:rPr>
          <w:rFonts w:ascii="Times New Roman" w:hAnsi="Times New Roman" w:eastAsia="宋体"/>
          <w:sz w:val="21"/>
        </w:rPr>
        <w:t>——柔佛比新加坡还紧张。</w:t>
      </w:r>
    </w:p>
    <w:p>
      <w:pPr>
        <w:spacing w:after="120" w:line="324" w:lineRule="auto"/>
      </w:pPr>
      <w:r>
        <w:rPr>
          <w:rFonts w:ascii="Times New Roman" w:hAnsi="Times New Roman" w:eastAsia="宋体"/>
          <w:sz w:val="21"/>
        </w:rPr>
        <w:t>一条须尽调而非直接否决的技术约束：B300 每卡 1,400 W、整机 14.5 kW，</w:t>
      </w:r>
      <w:r>
        <w:rPr>
          <w:rFonts w:ascii="Times New Roman" w:hAnsi="Times New Roman" w:eastAsia="宋体"/>
          <w:b/>
          <w:sz w:val="21"/>
        </w:rPr>
        <w:t>必须直接液冷</w:t>
      </w:r>
      <w:r>
        <w:rPr>
          <w:rFonts w:ascii="Times New Roman" w:hAnsi="Times New Roman" w:eastAsia="宋体"/>
          <w:sz w:val="21"/>
        </w:rPr>
        <w:t>；柔佛 2025-11 因干旱要求投资者推迟水冷扩建约 18 个月。</w:t>
      </w:r>
      <w:r>
        <w:rPr>
          <w:rFonts w:ascii="Times New Roman" w:hAnsi="Times New Roman" w:eastAsia="宋体"/>
          <w:b/>
          <w:sz w:val="21"/>
        </w:rPr>
        <w:t>须区分闭环 DLC 配干冷器（用水极少）与蒸发水冷（受限）</w:t>
      </w:r>
      <w:r>
        <w:rPr>
          <w:rFonts w:ascii="Times New Roman" w:hAnsi="Times New Roman" w:eastAsia="宋体"/>
          <w:sz w:val="21"/>
        </w:rPr>
        <w:t>——这是询价时必问的一项。</w:t>
      </w:r>
    </w:p>
    <w:p>
      <w:pPr>
        <w:pStyle w:val="Heading3"/>
        <w:keepNext/>
        <w:spacing w:before="200" w:after="120"/>
      </w:pPr>
      <w:r>
        <w:rPr>
          <w:rFonts w:ascii="Segoe UI" w:hAnsi="Segoe UI" w:eastAsia="微软雅黑"/>
          <w:b/>
          <w:color w:val="1F3B63"/>
          <w:sz w:val="25"/>
        </w:rPr>
        <w:t>3.3 ¥150,000/月 这个价，只在部分国家对出租方可持续</w:t>
      </w:r>
    </w:p>
    <w:p>
      <w:pPr>
        <w:spacing w:after="120" w:line="324" w:lineRule="auto"/>
      </w:pPr>
      <w:r>
        <w:rPr>
          <w:rFonts w:ascii="Times New Roman" w:hAnsi="Times New Roman" w:eastAsia="宋体"/>
          <w:sz w:val="21"/>
        </w:rPr>
        <w:t>（</w:t>
      </w:r>
      <w:r>
        <w:rPr>
          <w:rFonts w:ascii="Times New Roman" w:hAnsi="Times New Roman" w:eastAsia="宋体"/>
          <w:sz w:val="21"/>
        </w:rPr>
        <w:t>`outputs/02_lessor_cost_by_country.csv`</w:t>
      </w:r>
      <w:r>
        <w:rPr>
          <w:rFonts w:ascii="Times New Roman" w:hAnsi="Times New Roman" w:eastAsia="宋体"/>
          <w:color w:val="606060"/>
          <w:sz w:val="18"/>
        </w:rPr>
        <w:t>（outputs/02_lessor_cost_by_country.csv）</w:t>
      </w:r>
      <w:r>
        <w:rPr>
          <w:rFonts w:ascii="Times New Roman" w:hAnsi="Times New Roman" w:eastAsia="宋体"/>
          <w:sz w:val="21"/>
        </w:rPr>
        <w:t>，硬件按中位 $50 万计）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148"/>
        <w:gridCol w:w="1148"/>
        <w:gridCol w:w="1148"/>
        <w:gridCol w:w="1148"/>
        <w:gridCol w:w="1148"/>
        <w:gridCol w:w="1148"/>
        <w:gridCol w:w="1148"/>
        <w:gridCol w:w="1148"/>
      </w:tblGrid>
      <w:tr>
        <w:tc>
          <w:tcPr>
            <w:tcW w:type="dxa" w:w="1148"/>
            <w:shd w:val="clear" w:color="auto" w:fill="1F3B63"/>
          </w:tcPr>
          <w:p>
            <w:pPr>
              <w:spacing w:after="40" w:before="4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6"/>
              </w:rPr>
              <w:t>算力地</w:t>
            </w:r>
          </w:p>
        </w:tc>
        <w:tc>
          <w:tcPr>
            <w:tcW w:type="dxa" w:w="1148"/>
            <w:shd w:val="clear" w:color="auto" w:fill="1F3B63"/>
          </w:tcPr>
          <w:p>
            <w:pPr>
              <w:spacing w:after="40" w:before="4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6"/>
              </w:rPr>
              <w:t>摊销</w:t>
            </w:r>
          </w:p>
        </w:tc>
        <w:tc>
          <w:tcPr>
            <w:tcW w:type="dxa" w:w="1148"/>
            <w:shd w:val="clear" w:color="auto" w:fill="1F3B63"/>
          </w:tcPr>
          <w:p>
            <w:pPr>
              <w:spacing w:after="40" w:before="4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6"/>
              </w:rPr>
              <w:t>托管</w:t>
            </w:r>
          </w:p>
        </w:tc>
        <w:tc>
          <w:tcPr>
            <w:tcW w:type="dxa" w:w="1148"/>
            <w:shd w:val="clear" w:color="auto" w:fill="1F3B63"/>
          </w:tcPr>
          <w:p>
            <w:pPr>
              <w:spacing w:after="40" w:before="4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6"/>
              </w:rPr>
              <w:t>电费</w:t>
            </w:r>
          </w:p>
        </w:tc>
        <w:tc>
          <w:tcPr>
            <w:tcW w:type="dxa" w:w="1148"/>
            <w:shd w:val="clear" w:color="auto" w:fill="1F3B63"/>
          </w:tcPr>
          <w:p>
            <w:pPr>
              <w:spacing w:after="40" w:before="4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6"/>
              </w:rPr>
              <w:t>网络</w:t>
            </w:r>
          </w:p>
        </w:tc>
        <w:tc>
          <w:tcPr>
            <w:tcW w:type="dxa" w:w="1148"/>
            <w:shd w:val="clear" w:color="auto" w:fill="1F3B63"/>
          </w:tcPr>
          <w:p>
            <w:pPr>
              <w:spacing w:after="40" w:before="4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6"/>
              </w:rPr>
              <w:t>合计成本</w:t>
            </w:r>
          </w:p>
        </w:tc>
        <w:tc>
          <w:tcPr>
            <w:tcW w:type="dxa" w:w="1148"/>
            <w:shd w:val="clear" w:color="auto" w:fill="1F3B63"/>
          </w:tcPr>
          <w:p>
            <w:pPr>
              <w:spacing w:after="40" w:before="4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6"/>
              </w:rPr>
              <w:t>出租方毛利率</w:t>
            </w:r>
          </w:p>
        </w:tc>
        <w:tc>
          <w:tcPr>
            <w:tcW w:type="dxa" w:w="1148"/>
            <w:shd w:val="clear" w:color="auto" w:fill="1F3B63"/>
          </w:tcPr>
          <w:p>
            <w:pPr>
              <w:spacing w:after="40" w:before="4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6"/>
              </w:rPr>
              <w:t>可持续？</w:t>
            </w:r>
          </w:p>
        </w:tc>
      </w:tr>
      <w:tr>
        <w:tc>
          <w:tcPr>
            <w:tcW w:type="dxa" w:w="1148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6"/>
              </w:rPr>
              <w:t>印度尼西亚</w:t>
            </w:r>
          </w:p>
        </w:tc>
        <w:tc>
          <w:tcPr>
            <w:tcW w:type="dxa" w:w="1148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6"/>
              </w:rPr>
              <w:t>$16,607</w:t>
            </w:r>
          </w:p>
        </w:tc>
        <w:tc>
          <w:tcPr>
            <w:tcW w:type="dxa" w:w="1148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6"/>
              </w:rPr>
              <w:t>$2,938</w:t>
            </w:r>
          </w:p>
        </w:tc>
        <w:tc>
          <w:tcPr>
            <w:tcW w:type="dxa" w:w="1148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6"/>
              </w:rPr>
              <w:t>$1,454</w:t>
            </w:r>
          </w:p>
        </w:tc>
        <w:tc>
          <w:tcPr>
            <w:tcW w:type="dxa" w:w="1148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6"/>
              </w:rPr>
              <w:t>$1,000</w:t>
            </w:r>
          </w:p>
        </w:tc>
        <w:tc>
          <w:tcPr>
            <w:tcW w:type="dxa" w:w="1148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b/>
                <w:sz w:val="16"/>
              </w:rPr>
              <w:t>$21,999</w:t>
            </w:r>
          </w:p>
        </w:tc>
        <w:tc>
          <w:tcPr>
            <w:tcW w:type="dxa" w:w="1148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b/>
                <w:sz w:val="16"/>
              </w:rPr>
              <w:t>+0.39%</w:t>
            </w:r>
          </w:p>
        </w:tc>
        <w:tc>
          <w:tcPr>
            <w:tcW w:type="dxa" w:w="1148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6"/>
              </w:rPr>
              <w:t>是（电价为假设，G-2）</w:t>
            </w:r>
          </w:p>
        </w:tc>
      </w:tr>
      <w:tr>
        <w:tc>
          <w:tcPr>
            <w:tcW w:type="dxa" w:w="1148"/>
            <w:shd w:val="clear" w:color="auto" w:fill="F7F8FA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6"/>
              </w:rPr>
              <w:t>泰国</w:t>
            </w:r>
          </w:p>
        </w:tc>
        <w:tc>
          <w:tcPr>
            <w:tcW w:type="dxa" w:w="1148"/>
            <w:shd w:val="clear" w:color="auto" w:fill="F7F8FA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6"/>
              </w:rPr>
              <w:t>$16,607</w:t>
            </w:r>
          </w:p>
        </w:tc>
        <w:tc>
          <w:tcPr>
            <w:tcW w:type="dxa" w:w="1148"/>
            <w:shd w:val="clear" w:color="auto" w:fill="F7F8FA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6"/>
              </w:rPr>
              <w:t>$3,597</w:t>
            </w:r>
          </w:p>
        </w:tc>
        <w:tc>
          <w:tcPr>
            <w:tcW w:type="dxa" w:w="1148"/>
            <w:shd w:val="clear" w:color="auto" w:fill="F7F8FA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6"/>
              </w:rPr>
              <w:t>$1,454</w:t>
            </w:r>
          </w:p>
        </w:tc>
        <w:tc>
          <w:tcPr>
            <w:tcW w:type="dxa" w:w="1148"/>
            <w:shd w:val="clear" w:color="auto" w:fill="F7F8FA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6"/>
              </w:rPr>
              <w:t>$1,000</w:t>
            </w:r>
          </w:p>
        </w:tc>
        <w:tc>
          <w:tcPr>
            <w:tcW w:type="dxa" w:w="1148"/>
            <w:shd w:val="clear" w:color="auto" w:fill="F7F8FA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b/>
                <w:sz w:val="16"/>
              </w:rPr>
              <w:t>$22,658</w:t>
            </w:r>
          </w:p>
        </w:tc>
        <w:tc>
          <w:tcPr>
            <w:tcW w:type="dxa" w:w="1148"/>
            <w:shd w:val="clear" w:color="auto" w:fill="F7F8FA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6"/>
              </w:rPr>
              <w:t>−2.59%</w:t>
            </w:r>
          </w:p>
        </w:tc>
        <w:tc>
          <w:tcPr>
            <w:tcW w:type="dxa" w:w="1148"/>
            <w:shd w:val="clear" w:color="auto" w:fill="F7F8FA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6"/>
              </w:rPr>
              <w:t>否</w:t>
            </w:r>
          </w:p>
        </w:tc>
      </w:tr>
      <w:tr>
        <w:tc>
          <w:tcPr>
            <w:tcW w:type="dxa" w:w="1148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6"/>
              </w:rPr>
              <w:t>马来西亚</w:t>
            </w:r>
          </w:p>
        </w:tc>
        <w:tc>
          <w:tcPr>
            <w:tcW w:type="dxa" w:w="1148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6"/>
              </w:rPr>
              <w:t>$16,607</w:t>
            </w:r>
          </w:p>
        </w:tc>
        <w:tc>
          <w:tcPr>
            <w:tcW w:type="dxa" w:w="1148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6"/>
              </w:rPr>
              <w:t>$3,923</w:t>
            </w:r>
          </w:p>
        </w:tc>
        <w:tc>
          <w:tcPr>
            <w:tcW w:type="dxa" w:w="1148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6"/>
              </w:rPr>
              <w:t>$1,454</w:t>
            </w:r>
          </w:p>
        </w:tc>
        <w:tc>
          <w:tcPr>
            <w:tcW w:type="dxa" w:w="1148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6"/>
              </w:rPr>
              <w:t>$1,000</w:t>
            </w:r>
          </w:p>
        </w:tc>
        <w:tc>
          <w:tcPr>
            <w:tcW w:type="dxa" w:w="1148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b/>
                <w:sz w:val="16"/>
              </w:rPr>
              <w:t>$22,985</w:t>
            </w:r>
          </w:p>
        </w:tc>
        <w:tc>
          <w:tcPr>
            <w:tcW w:type="dxa" w:w="1148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6"/>
              </w:rPr>
              <w:t>−4.07%</w:t>
            </w:r>
          </w:p>
        </w:tc>
        <w:tc>
          <w:tcPr>
            <w:tcW w:type="dxa" w:w="1148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6"/>
              </w:rPr>
              <w:t>否</w:t>
            </w:r>
          </w:p>
        </w:tc>
      </w:tr>
      <w:tr>
        <w:tc>
          <w:tcPr>
            <w:tcW w:type="dxa" w:w="1148"/>
            <w:shd w:val="clear" w:color="auto" w:fill="F7F8FA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6"/>
              </w:rPr>
              <w:t>新加坡</w:t>
            </w:r>
          </w:p>
        </w:tc>
        <w:tc>
          <w:tcPr>
            <w:tcW w:type="dxa" w:w="1148"/>
            <w:shd w:val="clear" w:color="auto" w:fill="F7F8FA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6"/>
              </w:rPr>
              <w:t>$16,607</w:t>
            </w:r>
          </w:p>
        </w:tc>
        <w:tc>
          <w:tcPr>
            <w:tcW w:type="dxa" w:w="1148"/>
            <w:shd w:val="clear" w:color="auto" w:fill="F7F8FA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6"/>
              </w:rPr>
              <w:t>$6,045</w:t>
            </w:r>
          </w:p>
        </w:tc>
        <w:tc>
          <w:tcPr>
            <w:tcW w:type="dxa" w:w="1148"/>
            <w:shd w:val="clear" w:color="auto" w:fill="F7F8FA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6"/>
              </w:rPr>
              <w:t>$1,745</w:t>
            </w:r>
          </w:p>
        </w:tc>
        <w:tc>
          <w:tcPr>
            <w:tcW w:type="dxa" w:w="1148"/>
            <w:shd w:val="clear" w:color="auto" w:fill="F7F8FA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6"/>
              </w:rPr>
              <w:t>$1,000</w:t>
            </w:r>
          </w:p>
        </w:tc>
        <w:tc>
          <w:tcPr>
            <w:tcW w:type="dxa" w:w="1148"/>
            <w:shd w:val="clear" w:color="auto" w:fill="F7F8FA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b/>
                <w:sz w:val="16"/>
              </w:rPr>
              <w:t>$25,397</w:t>
            </w:r>
          </w:p>
        </w:tc>
        <w:tc>
          <w:tcPr>
            <w:tcW w:type="dxa" w:w="1148"/>
            <w:shd w:val="clear" w:color="auto" w:fill="F7F8FA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6"/>
              </w:rPr>
              <w:t>−14.99%</w:t>
            </w:r>
          </w:p>
        </w:tc>
        <w:tc>
          <w:tcPr>
            <w:tcW w:type="dxa" w:w="1148"/>
            <w:shd w:val="clear" w:color="auto" w:fill="F7F8FA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6"/>
              </w:rPr>
              <w:t>否</w:t>
            </w:r>
          </w:p>
        </w:tc>
      </w:tr>
    </w:tbl>
    <w:p>
      <w:pPr>
        <w:spacing w:after="80"/>
      </w:pPr>
    </w:p>
    <w:p>
      <w:pPr>
        <w:spacing w:after="120" w:line="324" w:lineRule="auto"/>
      </w:pPr>
      <w:r>
        <w:rPr>
          <w:rFonts w:ascii="Times New Roman" w:hAnsi="Times New Roman" w:eastAsia="宋体"/>
          <w:sz w:val="21"/>
        </w:rPr>
        <w:t>（毛利率 = 1 − 成本 ÷ 我方租金 $22,086。泰国与印尼的电费为"假设与马来西亚相同"下的推算，见缺口 G-2。）</w:t>
      </w:r>
    </w:p>
    <w:p>
      <w:pPr>
        <w:spacing w:after="120" w:line="324" w:lineRule="auto"/>
      </w:pPr>
      <w:r>
        <w:rPr>
          <w:rFonts w:ascii="Times New Roman" w:hAnsi="Times New Roman" w:eastAsia="宋体"/>
          <w:b/>
          <w:sz w:val="21"/>
        </w:rPr>
        <w:t>这意味着：对方如果同意这个价，要么硬件成本在低位（$40 万以下），要么在赌后市，要么会违约。这是必须尽调的事项，不是可以忽略的细节。</w:t>
      </w:r>
    </w:p>
    <w:p>
      <w:pPr>
        <w:spacing w:before="40" w:after="160"/>
        <w:pBdr>
          <w:bottom w:val="single" w:sz="6" w:color="D0D0D0"/>
        </w:pBdr>
      </w:pPr>
    </w:p>
    <w:p>
      <w:pPr>
        <w:pStyle w:val="Heading2"/>
        <w:keepNext/>
        <w:spacing w:before="320" w:after="120"/>
      </w:pPr>
      <w:r>
        <w:rPr>
          <w:rFonts w:ascii="Segoe UI" w:hAnsi="Segoe UI" w:eastAsia="微软雅黑"/>
          <w:b/>
          <w:color w:val="1F3B63"/>
          <w:sz w:val="30"/>
        </w:rPr>
        <w:t>四、注册地与算力地应当分离</w:t>
      </w:r>
    </w:p>
    <w:p>
      <w:pPr>
        <w:spacing w:after="120" w:line="324" w:lineRule="auto"/>
      </w:pPr>
      <w:r>
        <w:rPr>
          <w:rFonts w:ascii="Times New Roman" w:hAnsi="Times New Roman" w:eastAsia="宋体"/>
          <w:sz w:val="21"/>
        </w:rPr>
        <w:t>30 万美元年利润下的税负（</w:t>
      </w:r>
      <w:r>
        <w:rPr>
          <w:rFonts w:ascii="Times New Roman" w:hAnsi="Times New Roman" w:eastAsia="宋体"/>
          <w:sz w:val="21"/>
        </w:rPr>
        <w:t>`outputs/03_structure_tax.csv`</w:t>
      </w:r>
      <w:r>
        <w:rPr>
          <w:rFonts w:ascii="Times New Roman" w:hAnsi="Times New Roman" w:eastAsia="宋体"/>
          <w:color w:val="606060"/>
          <w:sz w:val="18"/>
        </w:rPr>
        <w:t>（outputs/03_structure_tax.csv）</w:t>
      </w:r>
      <w:r>
        <w:rPr>
          <w:rFonts w:ascii="Times New Roman" w:hAnsi="Times New Roman" w:eastAsia="宋体"/>
          <w:sz w:val="21"/>
        </w:rPr>
        <w:t>）：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c>
          <w:tcPr>
            <w:tcW w:type="dxa" w:w="2296"/>
            <w:shd w:val="clear" w:color="auto" w:fill="1F3B63"/>
          </w:tcPr>
          <w:p>
            <w:pPr>
              <w:spacing w:after="40" w:before="4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结构</w:t>
            </w:r>
          </w:p>
        </w:tc>
        <w:tc>
          <w:tcPr>
            <w:tcW w:type="dxa" w:w="2296"/>
            <w:shd w:val="clear" w:color="auto" w:fill="1F3B63"/>
          </w:tcPr>
          <w:p>
            <w:pPr>
              <w:spacing w:after="40" w:before="4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首年税</w:t>
            </w:r>
          </w:p>
        </w:tc>
        <w:tc>
          <w:tcPr>
            <w:tcW w:type="dxa" w:w="2296"/>
            <w:shd w:val="clear" w:color="auto" w:fill="1F3B63"/>
          </w:tcPr>
          <w:p>
            <w:pPr>
              <w:spacing w:after="40" w:before="4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首年有效税率</w:t>
            </w:r>
          </w:p>
        </w:tc>
        <w:tc>
          <w:tcPr>
            <w:tcW w:type="dxa" w:w="2296"/>
            <w:shd w:val="clear" w:color="auto" w:fill="1F3B63"/>
          </w:tcPr>
          <w:p>
            <w:pPr>
              <w:spacing w:after="40" w:before="4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第 4 年有效税率</w:t>
            </w:r>
          </w:p>
        </w:tc>
      </w:tr>
      <w:tr>
        <w:tc>
          <w:tcPr>
            <w:tcW w:type="dxa" w:w="2296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b/>
                <w:sz w:val="18"/>
              </w:rPr>
              <w:t>新加坡主体 + 任一算力地</w:t>
            </w:r>
          </w:p>
        </w:tc>
        <w:tc>
          <w:tcPr>
            <w:tcW w:type="dxa" w:w="2296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b/>
                <w:sz w:val="18"/>
              </w:rPr>
              <w:t>$17,212</w:t>
            </w:r>
          </w:p>
        </w:tc>
        <w:tc>
          <w:tcPr>
            <w:tcW w:type="dxa" w:w="2296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b/>
                <w:sz w:val="18"/>
              </w:rPr>
              <w:t>5.74%</w:t>
            </w:r>
          </w:p>
        </w:tc>
        <w:tc>
          <w:tcPr>
            <w:tcW w:type="dxa" w:w="2296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>12.47%</w:t>
            </w:r>
          </w:p>
        </w:tc>
      </w:tr>
      <w:tr>
        <w:tc>
          <w:tcPr>
            <w:tcW w:type="dxa" w:w="2296"/>
            <w:shd w:val="clear" w:color="auto" w:fill="F7F8FA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泰国主体 + 泰国算力</w:t>
            </w:r>
          </w:p>
        </w:tc>
        <w:tc>
          <w:tcPr>
            <w:tcW w:type="dxa" w:w="2296"/>
            <w:shd w:val="clear" w:color="auto" w:fill="F7F8FA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>$60,000</w:t>
            </w:r>
          </w:p>
        </w:tc>
        <w:tc>
          <w:tcPr>
            <w:tcW w:type="dxa" w:w="2296"/>
            <w:shd w:val="clear" w:color="auto" w:fill="F7F8FA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>20.00%</w:t>
            </w:r>
          </w:p>
        </w:tc>
        <w:tc>
          <w:tcPr>
            <w:tcW w:type="dxa" w:w="2296"/>
            <w:shd w:val="clear" w:color="auto" w:fill="F7F8FA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>20.00%</w:t>
            </w:r>
          </w:p>
        </w:tc>
      </w:tr>
      <w:tr>
        <w:tc>
          <w:tcPr>
            <w:tcW w:type="dxa" w:w="2296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马来西亚主体 + 马来西亚算力</w:t>
            </w:r>
          </w:p>
        </w:tc>
        <w:tc>
          <w:tcPr>
            <w:tcW w:type="dxa" w:w="2296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>$72,000</w:t>
            </w:r>
          </w:p>
        </w:tc>
        <w:tc>
          <w:tcPr>
            <w:tcW w:type="dxa" w:w="2296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>24.00%</w:t>
            </w:r>
          </w:p>
        </w:tc>
        <w:tc>
          <w:tcPr>
            <w:tcW w:type="dxa" w:w="2296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>24.00%</w:t>
            </w:r>
          </w:p>
        </w:tc>
      </w:tr>
    </w:tbl>
    <w:p>
      <w:pPr>
        <w:spacing w:after="80"/>
      </w:pPr>
    </w:p>
    <w:p>
      <w:pPr>
        <w:spacing w:after="120" w:line="324" w:lineRule="auto"/>
      </w:pPr>
      <w:r>
        <w:rPr>
          <w:rFonts w:ascii="Times New Roman" w:hAnsi="Times New Roman" w:eastAsia="宋体"/>
          <w:sz w:val="21"/>
        </w:rPr>
        <w:t>新加坡 17% 标准税率叠加新创减免（前 3 个评估年首 S$10 万免 75%、次 S$10 万免 50%）与 YA2026 的 50% 税额回扣（上限 S$4 万）。出口服务零税率且可抵进项。</w:t>
      </w:r>
    </w:p>
    <w:p>
      <w:pPr>
        <w:spacing w:after="120" w:line="324" w:lineRule="auto"/>
      </w:pPr>
      <w:r>
        <w:rPr>
          <w:rFonts w:ascii="Times New Roman" w:hAnsi="Times New Roman" w:eastAsia="宋体"/>
          <w:sz w:val="21"/>
        </w:rPr>
        <w:t>放进 36 期滚动模型（中性情景，</w:t>
      </w:r>
      <w:r>
        <w:rPr>
          <w:rFonts w:ascii="Times New Roman" w:hAnsi="Times New Roman" w:eastAsia="宋体"/>
          <w:sz w:val="21"/>
        </w:rPr>
        <w:t>`outputs/07_cross_site.csv`</w:t>
      </w:r>
      <w:r>
        <w:rPr>
          <w:rFonts w:ascii="Times New Roman" w:hAnsi="Times New Roman" w:eastAsia="宋体"/>
          <w:color w:val="606060"/>
          <w:sz w:val="18"/>
        </w:rPr>
        <w:t>（outputs/07_cross_site.csv）</w:t>
      </w:r>
      <w:r>
        <w:rPr>
          <w:rFonts w:ascii="Times New Roman" w:hAnsi="Times New Roman" w:eastAsia="宋体"/>
          <w:sz w:val="21"/>
        </w:rPr>
        <w:t>）：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31"/>
        <w:gridCol w:w="1531"/>
        <w:gridCol w:w="1531"/>
        <w:gridCol w:w="1531"/>
        <w:gridCol w:w="1531"/>
        <w:gridCol w:w="1531"/>
      </w:tblGrid>
      <w:tr>
        <w:tc>
          <w:tcPr>
            <w:tcW w:type="dxa" w:w="1531"/>
            <w:shd w:val="clear" w:color="auto" w:fill="1F3B63"/>
          </w:tcPr>
          <w:p>
            <w:pPr>
              <w:spacing w:after="40" w:before="4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算力地</w:t>
            </w:r>
          </w:p>
        </w:tc>
        <w:tc>
          <w:tcPr>
            <w:tcW w:type="dxa" w:w="1531"/>
            <w:shd w:val="clear" w:color="auto" w:fill="1F3B63"/>
          </w:tcPr>
          <w:p>
            <w:pPr>
              <w:spacing w:after="40" w:before="4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注册地</w:t>
            </w:r>
          </w:p>
        </w:tc>
        <w:tc>
          <w:tcPr>
            <w:tcW w:type="dxa" w:w="1531"/>
            <w:shd w:val="clear" w:color="auto" w:fill="1F3B63"/>
          </w:tcPr>
          <w:p>
            <w:pPr>
              <w:spacing w:after="40" w:before="4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注册地税率</w:t>
            </w:r>
          </w:p>
        </w:tc>
        <w:tc>
          <w:tcPr>
            <w:tcW w:type="dxa" w:w="1531"/>
            <w:shd w:val="clear" w:color="auto" w:fill="1F3B63"/>
          </w:tcPr>
          <w:p>
            <w:pPr>
              <w:spacing w:after="40" w:before="4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36 期累计税</w:t>
            </w:r>
          </w:p>
        </w:tc>
        <w:tc>
          <w:tcPr>
            <w:tcW w:type="dxa" w:w="1531"/>
            <w:shd w:val="clear" w:color="auto" w:fill="1F3B63"/>
          </w:tcPr>
          <w:p>
            <w:pPr>
              <w:spacing w:after="40" w:before="4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继续经营终值</w:t>
            </w:r>
          </w:p>
        </w:tc>
        <w:tc>
          <w:tcPr>
            <w:tcW w:type="dxa" w:w="1531"/>
            <w:shd w:val="clear" w:color="auto" w:fill="1F3B63"/>
          </w:tcPr>
          <w:p>
            <w:pPr>
              <w:spacing w:after="40" w:before="4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分离结构净收益</w:t>
            </w:r>
          </w:p>
        </w:tc>
      </w:tr>
      <w:tr>
        <w:tc>
          <w:tcPr>
            <w:tcW w:type="dxa" w:w="1531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泰国</w:t>
            </w:r>
          </w:p>
        </w:tc>
        <w:tc>
          <w:tcPr>
            <w:tcW w:type="dxa" w:w="1531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新加坡</w:t>
            </w:r>
          </w:p>
        </w:tc>
        <w:tc>
          <w:tcPr>
            <w:tcW w:type="dxa" w:w="1531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>17%</w:t>
            </w:r>
          </w:p>
        </w:tc>
        <w:tc>
          <w:tcPr>
            <w:tcW w:type="dxa" w:w="1531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>$5,945</w:t>
            </w:r>
          </w:p>
        </w:tc>
        <w:tc>
          <w:tcPr>
            <w:tcW w:type="dxa" w:w="1531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>$88,920</w:t>
            </w:r>
          </w:p>
        </w:tc>
        <w:tc>
          <w:tcPr>
            <w:tcW w:type="dxa" w:w="1531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b/>
                <w:sz w:val="18"/>
              </w:rPr>
              <w:t>+$21,942</w:t>
            </w:r>
          </w:p>
        </w:tc>
      </w:tr>
      <w:tr>
        <w:tc>
          <w:tcPr>
            <w:tcW w:type="dxa" w:w="1531"/>
            <w:shd w:val="clear" w:color="auto" w:fill="F7F8FA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泰国</w:t>
            </w:r>
          </w:p>
        </w:tc>
        <w:tc>
          <w:tcPr>
            <w:tcW w:type="dxa" w:w="1531"/>
            <w:shd w:val="clear" w:color="auto" w:fill="F7F8FA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当地</w:t>
            </w:r>
          </w:p>
        </w:tc>
        <w:tc>
          <w:tcPr>
            <w:tcW w:type="dxa" w:w="1531"/>
            <w:shd w:val="clear" w:color="auto" w:fill="F7F8FA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>20%</w:t>
            </w:r>
          </w:p>
        </w:tc>
        <w:tc>
          <w:tcPr>
            <w:tcW w:type="dxa" w:w="1531"/>
            <w:shd w:val="clear" w:color="auto" w:fill="F7F8FA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>$27,886</w:t>
            </w:r>
          </w:p>
        </w:tc>
        <w:tc>
          <w:tcPr>
            <w:tcW w:type="dxa" w:w="1531"/>
            <w:shd w:val="clear" w:color="auto" w:fill="F7F8FA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>$66,978</w:t>
            </w:r>
          </w:p>
        </w:tc>
        <w:tc>
          <w:tcPr>
            <w:tcW w:type="dxa" w:w="1531"/>
            <w:shd w:val="clear" w:color="auto" w:fill="F7F8FA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>—</w:t>
            </w:r>
          </w:p>
        </w:tc>
      </w:tr>
      <w:tr>
        <w:tc>
          <w:tcPr>
            <w:tcW w:type="dxa" w:w="1531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印度尼西亚</w:t>
            </w:r>
          </w:p>
        </w:tc>
        <w:tc>
          <w:tcPr>
            <w:tcW w:type="dxa" w:w="1531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新加坡</w:t>
            </w:r>
          </w:p>
        </w:tc>
        <w:tc>
          <w:tcPr>
            <w:tcW w:type="dxa" w:w="1531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>17%</w:t>
            </w:r>
          </w:p>
        </w:tc>
        <w:tc>
          <w:tcPr>
            <w:tcW w:type="dxa" w:w="1531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>$5,945</w:t>
            </w:r>
          </w:p>
        </w:tc>
        <w:tc>
          <w:tcPr>
            <w:tcW w:type="dxa" w:w="1531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>$88,920</w:t>
            </w:r>
          </w:p>
        </w:tc>
        <w:tc>
          <w:tcPr>
            <w:tcW w:type="dxa" w:w="1531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b/>
                <w:sz w:val="18"/>
              </w:rPr>
              <w:t>+$24,731</w:t>
            </w:r>
          </w:p>
        </w:tc>
      </w:tr>
      <w:tr>
        <w:tc>
          <w:tcPr>
            <w:tcW w:type="dxa" w:w="1531"/>
            <w:shd w:val="clear" w:color="auto" w:fill="F7F8FA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印度尼西亚</w:t>
            </w:r>
          </w:p>
        </w:tc>
        <w:tc>
          <w:tcPr>
            <w:tcW w:type="dxa" w:w="1531"/>
            <w:shd w:val="clear" w:color="auto" w:fill="F7F8FA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当地</w:t>
            </w:r>
          </w:p>
        </w:tc>
        <w:tc>
          <w:tcPr>
            <w:tcW w:type="dxa" w:w="1531"/>
            <w:shd w:val="clear" w:color="auto" w:fill="F7F8FA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>22%</w:t>
            </w:r>
          </w:p>
        </w:tc>
        <w:tc>
          <w:tcPr>
            <w:tcW w:type="dxa" w:w="1531"/>
            <w:shd w:val="clear" w:color="auto" w:fill="F7F8FA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>$30,675</w:t>
            </w:r>
          </w:p>
        </w:tc>
        <w:tc>
          <w:tcPr>
            <w:tcW w:type="dxa" w:w="1531"/>
            <w:shd w:val="clear" w:color="auto" w:fill="F7F8FA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>$64,189</w:t>
            </w:r>
          </w:p>
        </w:tc>
        <w:tc>
          <w:tcPr>
            <w:tcW w:type="dxa" w:w="1531"/>
            <w:shd w:val="clear" w:color="auto" w:fill="F7F8FA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>—</w:t>
            </w:r>
          </w:p>
        </w:tc>
      </w:tr>
      <w:tr>
        <w:tc>
          <w:tcPr>
            <w:tcW w:type="dxa" w:w="1531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马来西亚</w:t>
            </w:r>
          </w:p>
        </w:tc>
        <w:tc>
          <w:tcPr>
            <w:tcW w:type="dxa" w:w="1531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新加坡</w:t>
            </w:r>
          </w:p>
        </w:tc>
        <w:tc>
          <w:tcPr>
            <w:tcW w:type="dxa" w:w="1531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>17%</w:t>
            </w:r>
          </w:p>
        </w:tc>
        <w:tc>
          <w:tcPr>
            <w:tcW w:type="dxa" w:w="1531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>$5,945</w:t>
            </w:r>
          </w:p>
        </w:tc>
        <w:tc>
          <w:tcPr>
            <w:tcW w:type="dxa" w:w="1531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>$88,574</w:t>
            </w:r>
          </w:p>
        </w:tc>
        <w:tc>
          <w:tcPr>
            <w:tcW w:type="dxa" w:w="1531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b/>
                <w:sz w:val="18"/>
              </w:rPr>
              <w:t>+$27,519</w:t>
            </w:r>
          </w:p>
        </w:tc>
      </w:tr>
      <w:tr>
        <w:tc>
          <w:tcPr>
            <w:tcW w:type="dxa" w:w="1531"/>
            <w:shd w:val="clear" w:color="auto" w:fill="F7F8FA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马来西亚</w:t>
            </w:r>
          </w:p>
        </w:tc>
        <w:tc>
          <w:tcPr>
            <w:tcW w:type="dxa" w:w="1531"/>
            <w:shd w:val="clear" w:color="auto" w:fill="F7F8FA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当地</w:t>
            </w:r>
          </w:p>
        </w:tc>
        <w:tc>
          <w:tcPr>
            <w:tcW w:type="dxa" w:w="1531"/>
            <w:shd w:val="clear" w:color="auto" w:fill="F7F8FA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>24%</w:t>
            </w:r>
          </w:p>
        </w:tc>
        <w:tc>
          <w:tcPr>
            <w:tcW w:type="dxa" w:w="1531"/>
            <w:shd w:val="clear" w:color="auto" w:fill="F7F8FA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>$33,464</w:t>
            </w:r>
          </w:p>
        </w:tc>
        <w:tc>
          <w:tcPr>
            <w:tcW w:type="dxa" w:w="1531"/>
            <w:shd w:val="clear" w:color="auto" w:fill="F7F8FA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>$61,055</w:t>
            </w:r>
          </w:p>
        </w:tc>
        <w:tc>
          <w:tcPr>
            <w:tcW w:type="dxa" w:w="1531"/>
            <w:shd w:val="clear" w:color="auto" w:fill="F7F8FA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>—</w:t>
            </w:r>
          </w:p>
        </w:tc>
      </w:tr>
    </w:tbl>
    <w:p>
      <w:pPr>
        <w:spacing w:after="80"/>
      </w:pPr>
    </w:p>
    <w:p>
      <w:pPr>
        <w:spacing w:after="120" w:line="324" w:lineRule="auto"/>
      </w:pPr>
      <w:r>
        <w:rPr>
          <w:rFonts w:ascii="Times New Roman" w:hAnsi="Times New Roman" w:eastAsia="宋体"/>
          <w:b/>
          <w:sz w:val="21"/>
        </w:rPr>
        <w:t>这张表能说明什么、不能说明什么，必须讲清楚：</w:t>
      </w:r>
    </w:p>
    <w:p>
      <w:pPr>
        <w:pStyle w:val="ListBullet"/>
        <w:spacing w:after="60" w:line="312" w:lineRule="auto"/>
        <w:ind w:left="425"/>
      </w:pPr>
      <w:r>
        <w:rPr>
          <w:rFonts w:ascii="Times New Roman" w:hAnsi="Times New Roman" w:eastAsia="宋体"/>
          <w:b/>
          <w:sz w:val="21"/>
        </w:rPr>
        <w:t>不能说明</w:t>
      </w:r>
      <w:r>
        <w:rPr>
          <w:rFonts w:ascii="Times New Roman" w:hAnsi="Times New Roman" w:eastAsia="宋体"/>
          <w:sz w:val="21"/>
        </w:rPr>
        <w:t>哪个国家租金更便宜。G-1 未取得各国实际报价，模型对所有国家用同一份租金。用推算的托管价去反推各国租金，等于把估计误差当成结论。</w:t>
      </w:r>
    </w:p>
    <w:p>
      <w:pPr>
        <w:pStyle w:val="ListBullet"/>
        <w:spacing w:after="60" w:line="312" w:lineRule="auto"/>
        <w:ind w:left="425"/>
      </w:pPr>
      <w:r>
        <w:rPr>
          <w:rFonts w:ascii="Times New Roman" w:hAnsi="Times New Roman" w:eastAsia="宋体"/>
          <w:b/>
          <w:sz w:val="21"/>
        </w:rPr>
        <w:t>能说明</w:t>
      </w:r>
      <w:r>
        <w:rPr>
          <w:rFonts w:ascii="Times New Roman" w:hAnsi="Times New Roman" w:eastAsia="宋体"/>
          <w:sz w:val="21"/>
        </w:rPr>
        <w:t>在租金相同的前提下，注册地选择值多少钱：</w:t>
      </w:r>
      <w:r>
        <w:rPr>
          <w:rFonts w:ascii="Times New Roman" w:hAnsi="Times New Roman" w:eastAsia="宋体"/>
          <w:b/>
          <w:sz w:val="21"/>
        </w:rPr>
        <w:t>2.2 万到 2.8 万美元，相当于初始资金 $132,515 的 17%–21%。</w:t>
      </w:r>
    </w:p>
    <w:p>
      <w:pPr>
        <w:spacing w:after="120" w:line="324" w:lineRule="auto"/>
      </w:pPr>
      <w:r>
        <w:rPr>
          <w:rFonts w:ascii="Times New Roman" w:hAnsi="Times New Roman" w:eastAsia="宋体"/>
          <w:b/>
          <w:sz w:val="21"/>
        </w:rPr>
        <w:t>但分离结构有一个前提条件</w:t>
      </w:r>
      <w:r>
        <w:rPr>
          <w:rFonts w:ascii="Times New Roman" w:hAnsi="Times New Roman" w:eastAsia="宋体"/>
          <w:sz w:val="21"/>
        </w:rPr>
        <w:t>：交易形态必须是</w:t>
      </w:r>
      <w:r>
        <w:rPr>
          <w:rFonts w:ascii="Times New Roman" w:hAnsi="Times New Roman" w:eastAsia="宋体"/>
          <w:b/>
          <w:sz w:val="21"/>
        </w:rPr>
        <w:t>购买算力即服务</w:t>
      </w:r>
      <w:r>
        <w:rPr>
          <w:rFonts w:ascii="Times New Roman" w:hAnsi="Times New Roman" w:eastAsia="宋体"/>
          <w:sz w:val="21"/>
        </w:rPr>
        <w:t>而非租赁裸金属。原因见下。</w:t>
      </w:r>
    </w:p>
    <w:p>
      <w:pPr>
        <w:pStyle w:val="Heading3"/>
        <w:keepNext/>
        <w:spacing w:before="200" w:after="120"/>
      </w:pPr>
      <w:r>
        <w:rPr>
          <w:rFonts w:ascii="Segoe UI" w:hAnsi="Segoe UI" w:eastAsia="微软雅黑"/>
          <w:b/>
          <w:color w:val="1F3B63"/>
          <w:sz w:val="25"/>
        </w:rPr>
        <w:t>一个决定同时解决两个问题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37"/>
        <w:gridCol w:w="1837"/>
        <w:gridCol w:w="1837"/>
        <w:gridCol w:w="1837"/>
        <w:gridCol w:w="1837"/>
      </w:tblGrid>
      <w:tr>
        <w:tc>
          <w:tcPr>
            <w:tcW w:type="dxa" w:w="1837"/>
            <w:shd w:val="clear" w:color="auto" w:fill="1F3B63"/>
          </w:tcPr>
          <w:p>
            <w:pPr>
              <w:spacing w:after="40" w:before="4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交易形态</w:t>
            </w:r>
          </w:p>
        </w:tc>
        <w:tc>
          <w:tcPr>
            <w:tcW w:type="dxa" w:w="1837"/>
            <w:shd w:val="clear" w:color="auto" w:fill="1F3B63"/>
          </w:tcPr>
          <w:p>
            <w:pPr>
              <w:spacing w:after="40" w:before="4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出口管制定性</w:t>
            </w:r>
          </w:p>
        </w:tc>
        <w:tc>
          <w:tcPr>
            <w:tcW w:type="dxa" w:w="1837"/>
            <w:shd w:val="clear" w:color="auto" w:fill="1F3B63"/>
          </w:tcPr>
          <w:p>
            <w:pPr>
              <w:spacing w:after="40" w:before="4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东道国常设机构风险</w:t>
            </w:r>
          </w:p>
        </w:tc>
        <w:tc>
          <w:tcPr>
            <w:tcW w:type="dxa" w:w="1837"/>
            <w:shd w:val="clear" w:color="auto" w:fill="1F3B63"/>
          </w:tcPr>
          <w:p>
            <w:pPr>
              <w:spacing w:after="40" w:before="4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谈判难度</w:t>
            </w:r>
          </w:p>
        </w:tc>
        <w:tc>
          <w:tcPr>
            <w:tcW w:type="dxa" w:w="1837"/>
            <w:shd w:val="clear" w:color="auto" w:fill="1F3B63"/>
          </w:tcPr>
          <w:p>
            <w:pPr>
              <w:spacing w:after="40" w:before="4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推荐</w:t>
            </w:r>
          </w:p>
        </w:tc>
      </w:tr>
      <w:tr>
        <w:tc>
          <w:tcPr>
            <w:tcW w:type="dxa" w:w="1837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b/>
                <w:sz w:val="18"/>
              </w:rPr>
              <w:t>购买算力即服务</w:t>
            </w:r>
            <w:r>
              <w:rPr>
                <w:rFonts w:ascii="Times New Roman" w:hAnsi="Times New Roman" w:eastAsia="宋体"/>
                <w:sz w:val="18"/>
              </w:rPr>
              <w:t>（不占有、不控制物项）</w:t>
            </w:r>
          </w:p>
        </w:tc>
        <w:tc>
          <w:tcPr>
            <w:tcW w:type="dxa" w:w="1837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物项未离开出租方支配，历史上不视为物项出口/转让</w:t>
            </w:r>
          </w:p>
        </w:tc>
        <w:tc>
          <w:tcPr>
            <w:tcW w:type="dxa" w:w="1837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b/>
                <w:sz w:val="18"/>
              </w:rPr>
              <w:t>低</w:t>
            </w:r>
            <w:r>
              <w:rPr>
                <w:rFonts w:ascii="Times New Roman" w:hAnsi="Times New Roman" w:eastAsia="宋体"/>
                <w:sz w:val="18"/>
              </w:rPr>
              <w:t>。无自有或自行支配的服务器</w:t>
            </w:r>
          </w:p>
        </w:tc>
        <w:tc>
          <w:tcPr>
            <w:tcW w:type="dxa" w:w="1837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中。需对方接受服务化合同</w:t>
            </w:r>
          </w:p>
        </w:tc>
        <w:tc>
          <w:tcPr>
            <w:tcW w:type="dxa" w:w="1837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b/>
                <w:sz w:val="18"/>
              </w:rPr>
              <w:t>是</w:t>
            </w:r>
          </w:p>
        </w:tc>
      </w:tr>
      <w:tr>
        <w:tc>
          <w:tcPr>
            <w:tcW w:type="dxa" w:w="1837"/>
            <w:shd w:val="clear" w:color="auto" w:fill="F7F8FA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独占式裸金属租赁</w:t>
            </w:r>
          </w:p>
        </w:tc>
        <w:tc>
          <w:tcPr>
            <w:tcW w:type="dxa" w:w="1837"/>
            <w:shd w:val="clear" w:color="auto" w:fill="F7F8FA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b/>
                <w:sz w:val="18"/>
              </w:rPr>
              <w:t>可能构成 EAR 意义上的 transfer (in-country)</w:t>
            </w:r>
            <w:r>
              <w:rPr>
                <w:rFonts w:ascii="Times New Roman" w:hAnsi="Times New Roman" w:eastAsia="宋体"/>
                <w:sz w:val="18"/>
              </w:rPr>
              <w:t>，须律师定性</w:t>
            </w:r>
          </w:p>
        </w:tc>
        <w:tc>
          <w:tcPr>
            <w:tcW w:type="dxa" w:w="1837"/>
            <w:shd w:val="clear" w:color="auto" w:fill="F7F8FA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b/>
                <w:sz w:val="18"/>
              </w:rPr>
              <w:t>较高</w:t>
            </w:r>
            <w:r>
              <w:rPr>
                <w:rFonts w:ascii="Times New Roman" w:hAnsi="Times New Roman" w:eastAsia="宋体"/>
                <w:sz w:val="18"/>
              </w:rPr>
              <w:t>。按 OECD 注释，自行支配运营的服务器可构成 PE</w:t>
            </w:r>
          </w:p>
        </w:tc>
        <w:tc>
          <w:tcPr>
            <w:tcW w:type="dxa" w:w="1837"/>
            <w:shd w:val="clear" w:color="auto" w:fill="F7F8FA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低。市场主流形态</w:t>
            </w:r>
          </w:p>
        </w:tc>
        <w:tc>
          <w:tcPr>
            <w:tcW w:type="dxa" w:w="1837"/>
            <w:shd w:val="clear" w:color="auto" w:fill="F7F8FA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否</w:t>
            </w:r>
          </w:p>
        </w:tc>
      </w:tr>
    </w:tbl>
    <w:p>
      <w:pPr>
        <w:spacing w:after="80"/>
      </w:pPr>
    </w:p>
    <w:p>
      <w:pPr>
        <w:spacing w:after="120" w:line="324" w:lineRule="auto"/>
      </w:pPr>
      <w:r>
        <w:rPr>
          <w:rFonts w:ascii="Times New Roman" w:hAnsi="Times New Roman" w:eastAsia="宋体"/>
          <w:sz w:val="21"/>
        </w:rPr>
        <w:t>这不是巧合：</w:t>
      </w:r>
      <w:r>
        <w:rPr>
          <w:rFonts w:ascii="Times New Roman" w:hAnsi="Times New Roman" w:eastAsia="宋体"/>
          <w:b/>
          <w:sz w:val="21"/>
        </w:rPr>
        <w:t>两者判定的都是"你是否支配该物项"。</w:t>
      </w:r>
    </w:p>
    <w:p>
      <w:pPr>
        <w:spacing w:after="120" w:line="324" w:lineRule="auto"/>
      </w:pPr>
      <w:r>
        <w:rPr>
          <w:rFonts w:ascii="Times New Roman" w:hAnsi="Times New Roman" w:eastAsia="宋体"/>
          <w:sz w:val="21"/>
        </w:rPr>
        <w:t>最终定性须由出口管制律师与国际税律师分别出具意见。本报告只负责把问题问准。</w:t>
      </w:r>
    </w:p>
    <w:p>
      <w:pPr>
        <w:spacing w:before="40" w:after="160"/>
        <w:pBdr>
          <w:bottom w:val="single" w:sz="6" w:color="D0D0D0"/>
        </w:pBdr>
      </w:pPr>
    </w:p>
    <w:p>
      <w:pPr>
        <w:pStyle w:val="Heading2"/>
        <w:keepNext/>
        <w:spacing w:before="320" w:after="120"/>
      </w:pPr>
      <w:r>
        <w:rPr>
          <w:rFonts w:ascii="Segoe UI" w:hAnsi="Segoe UI" w:eastAsia="微软雅黑"/>
          <w:b/>
          <w:color w:val="1F3B63"/>
          <w:sz w:val="30"/>
        </w:rPr>
        <w:t>五、RFQ 询价清单（阶段 2 直接可用）</w:t>
      </w:r>
    </w:p>
    <w:p>
      <w:pPr>
        <w:spacing w:after="120" w:line="324" w:lineRule="auto"/>
      </w:pPr>
      <w:r>
        <w:rPr>
          <w:rFonts w:ascii="Times New Roman" w:hAnsi="Times New Roman" w:eastAsia="宋体"/>
          <w:sz w:val="21"/>
        </w:rPr>
        <w:t xml:space="preserve">向候选供应商（泰国 Freyr AI、印尼与马来西亚的 NCP 及托管商）发出询价时，以下每一项都必须要到书面答复。标 </w:t>
      </w:r>
      <w:r>
        <w:rPr>
          <w:rFonts w:ascii="Times New Roman" w:hAnsi="Times New Roman" w:eastAsia="宋体"/>
          <w:b/>
          <w:sz w:val="21"/>
        </w:rPr>
        <w:t>★</w:t>
      </w:r>
      <w:r>
        <w:rPr>
          <w:rFonts w:ascii="Times New Roman" w:hAnsi="Times New Roman" w:eastAsia="宋体"/>
          <w:sz w:val="21"/>
        </w:rPr>
        <w:t xml:space="preserve"> 的是决定成败的项，不是可以"后面再说"的项。</w:t>
      </w:r>
    </w:p>
    <w:p>
      <w:pPr>
        <w:pStyle w:val="Heading3"/>
        <w:keepNext/>
        <w:spacing w:before="200" w:after="120"/>
      </w:pPr>
      <w:r>
        <w:rPr>
          <w:rFonts w:ascii="Segoe UI" w:hAnsi="Segoe UI" w:eastAsia="微软雅黑"/>
          <w:b/>
          <w:color w:val="1F3B63"/>
          <w:sz w:val="25"/>
        </w:rPr>
        <w:t>5.1 合规（★ 全部为硬门槛）</w:t>
      </w:r>
    </w:p>
    <w:p>
      <w:pPr>
        <w:pStyle w:val="ListNumber"/>
        <w:spacing w:after="60" w:line="312" w:lineRule="auto"/>
        <w:ind w:left="425"/>
      </w:pPr>
      <w:r>
        <w:rPr>
          <w:rFonts w:ascii="Times New Roman" w:hAnsi="Times New Roman" w:eastAsia="宋体"/>
          <w:sz w:val="21"/>
        </w:rPr>
        <w:t>★ 贵方是否已完成针对我方主体的出口管制终端用户筛查？可否出具书面确认？</w:t>
      </w:r>
    </w:p>
    <w:p>
      <w:pPr>
        <w:pStyle w:val="ListNumber"/>
        <w:spacing w:after="60" w:line="312" w:lineRule="auto"/>
        <w:ind w:left="425"/>
      </w:pPr>
      <w:r>
        <w:rPr>
          <w:rFonts w:ascii="Times New Roman" w:hAnsi="Times New Roman" w:eastAsia="宋体"/>
          <w:sz w:val="21"/>
        </w:rPr>
        <w:t>★ 贵方持有的美国再出口授权类型与覆盖范围？</w:t>
      </w:r>
    </w:p>
    <w:p>
      <w:pPr>
        <w:pStyle w:val="ListNumber"/>
        <w:spacing w:after="60" w:line="312" w:lineRule="auto"/>
        <w:ind w:left="425"/>
      </w:pPr>
      <w:r>
        <w:rPr>
          <w:rFonts w:ascii="Times New Roman" w:hAnsi="Times New Roman" w:eastAsia="宋体"/>
          <w:sz w:val="21"/>
        </w:rPr>
        <w:t>★ 合同形态可否为</w:t>
      </w:r>
      <w:r>
        <w:rPr>
          <w:rFonts w:ascii="Times New Roman" w:hAnsi="Times New Roman" w:eastAsia="宋体"/>
          <w:b/>
          <w:sz w:val="21"/>
        </w:rPr>
        <w:t>算力服务</w:t>
      </w:r>
      <w:r>
        <w:rPr>
          <w:rFonts w:ascii="Times New Roman" w:hAnsi="Times New Roman" w:eastAsia="宋体"/>
          <w:sz w:val="21"/>
        </w:rPr>
        <w:t>（我方不占有、不控制物项）而非裸金属租赁？</w:t>
      </w:r>
    </w:p>
    <w:p>
      <w:pPr>
        <w:pStyle w:val="ListNumber"/>
        <w:spacing w:after="60" w:line="312" w:lineRule="auto"/>
        <w:ind w:left="425"/>
      </w:pPr>
      <w:r>
        <w:rPr>
          <w:rFonts w:ascii="Times New Roman" w:hAnsi="Times New Roman" w:eastAsia="宋体"/>
          <w:sz w:val="21"/>
        </w:rPr>
        <w:t>★ 若东道国监管发生变化导致无法履约，责任如何划分？</w:t>
      </w:r>
    </w:p>
    <w:p>
      <w:pPr>
        <w:pStyle w:val="ListNumber"/>
        <w:spacing w:after="60" w:line="312" w:lineRule="auto"/>
        <w:ind w:left="425"/>
      </w:pPr>
      <w:r>
        <w:rPr>
          <w:rFonts w:ascii="Times New Roman" w:hAnsi="Times New Roman" w:eastAsia="宋体"/>
          <w:sz w:val="21"/>
        </w:rPr>
        <w:t>马来西亚专项：MITI 战略贸易许可的申请主体是谁？AICA 申报由哪一方负责？</w:t>
      </w:r>
    </w:p>
    <w:p>
      <w:pPr>
        <w:pStyle w:val="Heading3"/>
        <w:keepNext/>
        <w:spacing w:before="200" w:after="120"/>
      </w:pPr>
      <w:r>
        <w:rPr>
          <w:rFonts w:ascii="Segoe UI" w:hAnsi="Segoe UI" w:eastAsia="微软雅黑"/>
          <w:b/>
          <w:color w:val="1F3B63"/>
          <w:sz w:val="25"/>
        </w:rPr>
        <w:t>5.2 商务（★ 提前终止权优先级高于价格）</w:t>
      </w:r>
    </w:p>
    <w:p>
      <w:pPr>
        <w:pStyle w:val="ListNumber"/>
        <w:spacing w:after="60" w:line="312" w:lineRule="auto"/>
        <w:ind w:left="425"/>
      </w:pPr>
      <w:r>
        <w:rPr>
          <w:rFonts w:ascii="Times New Roman" w:hAnsi="Times New Roman" w:eastAsia="宋体"/>
          <w:sz w:val="21"/>
        </w:rPr>
        <w:t xml:space="preserve">★ </w:t>
      </w:r>
      <w:r>
        <w:rPr>
          <w:rFonts w:ascii="Times New Roman" w:hAnsi="Times New Roman" w:eastAsia="宋体"/>
          <w:b/>
          <w:sz w:val="21"/>
        </w:rPr>
        <w:t>提前终止条款</w:t>
      </w:r>
      <w:r>
        <w:rPr>
          <w:rFonts w:ascii="Times New Roman" w:hAnsi="Times New Roman" w:eastAsia="宋体"/>
          <w:sz w:val="21"/>
        </w:rPr>
        <w:t>：有无无责终止权？通知期多长？违约金如何计算？</w:t>
      </w:r>
    </w:p>
    <w:p>
      <w:pPr>
        <w:pStyle w:val="ListNumber"/>
        <w:spacing w:after="60" w:line="312" w:lineRule="auto"/>
        <w:ind w:left="425"/>
      </w:pPr>
      <w:r>
        <w:rPr>
          <w:rFonts w:ascii="Times New Roman" w:hAnsi="Times New Roman" w:eastAsia="宋体"/>
          <w:sz w:val="21"/>
        </w:rPr>
        <w:t>★ 最短租期与该租期对应的价格？12 个月与 36 个月的价差是多少？</w:t>
      </w:r>
    </w:p>
    <w:p>
      <w:pPr>
        <w:pStyle w:val="ListNumber"/>
        <w:spacing w:after="60" w:line="312" w:lineRule="auto"/>
        <w:ind w:left="425"/>
      </w:pPr>
      <w:r>
        <w:rPr>
          <w:rFonts w:ascii="Times New Roman" w:hAnsi="Times New Roman" w:eastAsia="宋体"/>
          <w:sz w:val="21"/>
        </w:rPr>
        <w:t>押金月数、是否可用银行保函替代？</w:t>
      </w:r>
    </w:p>
    <w:p>
      <w:pPr>
        <w:pStyle w:val="ListNumber"/>
        <w:spacing w:after="60" w:line="312" w:lineRule="auto"/>
        <w:ind w:left="425"/>
      </w:pPr>
      <w:r>
        <w:rPr>
          <w:rFonts w:ascii="Times New Roman" w:hAnsi="Times New Roman" w:eastAsia="宋体"/>
          <w:sz w:val="21"/>
        </w:rPr>
        <w:t>付款节奏：月付/季付/年付？是否要求预付？</w:t>
      </w:r>
    </w:p>
    <w:p>
      <w:pPr>
        <w:pStyle w:val="ListNumber"/>
        <w:spacing w:after="60" w:line="312" w:lineRule="auto"/>
        <w:ind w:left="425"/>
      </w:pPr>
      <w:r>
        <w:rPr>
          <w:rFonts w:ascii="Times New Roman" w:hAnsi="Times New Roman" w:eastAsia="宋体"/>
          <w:sz w:val="21"/>
        </w:rPr>
        <w:t>价格调整机制：电价波动、汇率波动如何传导？</w:t>
      </w:r>
    </w:p>
    <w:p>
      <w:pPr>
        <w:pStyle w:val="ListNumber"/>
        <w:spacing w:after="60" w:line="312" w:lineRule="auto"/>
        <w:ind w:left="425"/>
      </w:pPr>
      <w:r>
        <w:rPr>
          <w:rFonts w:ascii="Times New Roman" w:hAnsi="Times New Roman" w:eastAsia="宋体"/>
          <w:sz w:val="21"/>
        </w:rPr>
        <w:t>★ 贵方的 B300 取得成本区间与资金结构（用于评估对方在此价位的可持续性）</w:t>
      </w:r>
    </w:p>
    <w:p>
      <w:pPr>
        <w:pStyle w:val="ListNumber"/>
        <w:spacing w:after="60" w:line="312" w:lineRule="auto"/>
        <w:ind w:left="425"/>
      </w:pPr>
      <w:r>
        <w:rPr>
          <w:rFonts w:ascii="Times New Roman" w:hAnsi="Times New Roman" w:eastAsia="宋体"/>
          <w:sz w:val="21"/>
        </w:rPr>
        <w:t>已投运客户数量与运行时长（可脱敏）</w:t>
      </w:r>
    </w:p>
    <w:p>
      <w:pPr>
        <w:pStyle w:val="Heading3"/>
        <w:keepNext/>
        <w:spacing w:before="200" w:after="120"/>
      </w:pPr>
      <w:r>
        <w:rPr>
          <w:rFonts w:ascii="Segoe UI" w:hAnsi="Segoe UI" w:eastAsia="微软雅黑"/>
          <w:b/>
          <w:color w:val="1F3B63"/>
          <w:sz w:val="25"/>
        </w:rPr>
        <w:t>5.3 技术</w:t>
      </w:r>
    </w:p>
    <w:p>
      <w:pPr>
        <w:pStyle w:val="ListNumber"/>
        <w:spacing w:after="60" w:line="312" w:lineRule="auto"/>
        <w:ind w:left="425"/>
      </w:pPr>
      <w:r>
        <w:rPr>
          <w:rFonts w:ascii="Times New Roman" w:hAnsi="Times New Roman" w:eastAsia="宋体"/>
          <w:sz w:val="21"/>
        </w:rPr>
        <w:t>整机配置：GPU 卡数、HBM 容量、CPU、系统内存、NVMe 容量</w:t>
      </w:r>
    </w:p>
    <w:p>
      <w:pPr>
        <w:pStyle w:val="ListNumber"/>
        <w:spacing w:after="60" w:line="312" w:lineRule="auto"/>
        <w:ind w:left="425"/>
      </w:pPr>
      <w:r>
        <w:rPr>
          <w:rFonts w:ascii="Times New Roman" w:hAnsi="Times New Roman" w:eastAsia="宋体"/>
          <w:sz w:val="21"/>
        </w:rPr>
        <w:t xml:space="preserve">★ </w:t>
      </w:r>
      <w:r>
        <w:rPr>
          <w:rFonts w:ascii="Times New Roman" w:hAnsi="Times New Roman" w:eastAsia="宋体"/>
          <w:b/>
          <w:sz w:val="21"/>
        </w:rPr>
        <w:t>冷却方式</w:t>
      </w:r>
      <w:r>
        <w:rPr>
          <w:rFonts w:ascii="Times New Roman" w:hAnsi="Times New Roman" w:eastAsia="宋体"/>
          <w:sz w:val="21"/>
        </w:rPr>
        <w:t>：直接液冷是闭环配干冷器还是蒸发水冷？（柔佛专项：是否受水冷扩建限制影响）</w:t>
      </w:r>
    </w:p>
    <w:p>
      <w:pPr>
        <w:pStyle w:val="ListNumber"/>
        <w:spacing w:after="60" w:line="312" w:lineRule="auto"/>
        <w:ind w:left="425"/>
      </w:pPr>
      <w:r>
        <w:rPr>
          <w:rFonts w:ascii="Times New Roman" w:hAnsi="Times New Roman" w:eastAsia="宋体"/>
          <w:sz w:val="21"/>
        </w:rPr>
        <w:t>合约功率（kW）与超额用电计费方式</w:t>
      </w:r>
    </w:p>
    <w:p>
      <w:pPr>
        <w:pStyle w:val="ListNumber"/>
        <w:spacing w:after="60" w:line="312" w:lineRule="auto"/>
        <w:ind w:left="425"/>
      </w:pPr>
      <w:r>
        <w:rPr>
          <w:rFonts w:ascii="Times New Roman" w:hAnsi="Times New Roman" w:eastAsia="宋体"/>
          <w:sz w:val="21"/>
        </w:rPr>
        <w:t xml:space="preserve">★ </w:t>
      </w:r>
      <w:r>
        <w:rPr>
          <w:rFonts w:ascii="Times New Roman" w:hAnsi="Times New Roman" w:eastAsia="宋体"/>
          <w:b/>
          <w:sz w:val="21"/>
        </w:rPr>
        <w:t>电价条款</w:t>
      </w:r>
      <w:r>
        <w:rPr>
          <w:rFonts w:ascii="Times New Roman" w:hAnsi="Times New Roman" w:eastAsia="宋体"/>
          <w:sz w:val="21"/>
        </w:rPr>
        <w:t>：单价、是否分时、容量费与网络费如何计算（同时补齐缺口 G-2）</w:t>
      </w:r>
    </w:p>
    <w:p>
      <w:pPr>
        <w:pStyle w:val="ListNumber"/>
        <w:spacing w:after="60" w:line="312" w:lineRule="auto"/>
        <w:ind w:left="425"/>
      </w:pPr>
      <w:r>
        <w:rPr>
          <w:rFonts w:ascii="Times New Roman" w:hAnsi="Times New Roman" w:eastAsia="宋体"/>
          <w:sz w:val="21"/>
        </w:rPr>
        <w:t>网络：出口带宽、是否独享、到美西与欧洲的实测 RTT（同时补齐缺口 G-3）</w:t>
      </w:r>
    </w:p>
    <w:p>
      <w:pPr>
        <w:pStyle w:val="ListNumber"/>
        <w:spacing w:after="60" w:line="312" w:lineRule="auto"/>
        <w:ind w:left="425"/>
      </w:pPr>
      <w:r>
        <w:rPr>
          <w:rFonts w:ascii="Times New Roman" w:hAnsi="Times New Roman" w:eastAsia="宋体"/>
          <w:sz w:val="21"/>
        </w:rPr>
        <w:t>存储：本地 NVMe 容量（K3 权重 1.57 TB，须能常驻以把重启 MTTR 控制在 10.6 分钟而非 88.8 分钟）</w:t>
      </w:r>
    </w:p>
    <w:p>
      <w:pPr>
        <w:pStyle w:val="ListNumber"/>
        <w:spacing w:after="60" w:line="312" w:lineRule="auto"/>
        <w:ind w:left="425"/>
      </w:pPr>
      <w:r>
        <w:rPr>
          <w:rFonts w:ascii="Times New Roman" w:hAnsi="Times New Roman" w:eastAsia="宋体"/>
          <w:sz w:val="21"/>
        </w:rPr>
        <w:t>SLA：可用率承诺、故障响应时间、赔偿条款</w:t>
      </w:r>
    </w:p>
    <w:p>
      <w:pPr>
        <w:pStyle w:val="ListNumber"/>
        <w:spacing w:after="60" w:line="312" w:lineRule="auto"/>
        <w:ind w:left="425"/>
      </w:pPr>
      <w:r>
        <w:rPr>
          <w:rFonts w:ascii="Times New Roman" w:hAnsi="Times New Roman" w:eastAsia="宋体"/>
          <w:sz w:val="21"/>
        </w:rPr>
        <w:t>远程手工（remote hands）响应时间与计费</w:t>
      </w:r>
    </w:p>
    <w:p>
      <w:pPr>
        <w:pStyle w:val="Heading3"/>
        <w:keepNext/>
        <w:spacing w:before="200" w:after="120"/>
      </w:pPr>
      <w:r>
        <w:rPr>
          <w:rFonts w:ascii="Segoe UI" w:hAnsi="Segoe UI" w:eastAsia="微软雅黑"/>
          <w:b/>
          <w:color w:val="1F3B63"/>
          <w:sz w:val="25"/>
        </w:rPr>
        <w:t>5.4 交付</w:t>
      </w:r>
    </w:p>
    <w:p>
      <w:pPr>
        <w:pStyle w:val="ListNumber"/>
        <w:spacing w:after="60" w:line="312" w:lineRule="auto"/>
        <w:ind w:left="425"/>
      </w:pPr>
      <w:r>
        <w:rPr>
          <w:rFonts w:ascii="Times New Roman" w:hAnsi="Times New Roman" w:eastAsia="宋体"/>
          <w:sz w:val="21"/>
        </w:rPr>
        <w:t>★ 从签约到可用的实际交付期</w:t>
      </w:r>
    </w:p>
    <w:p>
      <w:pPr>
        <w:pStyle w:val="ListNumber"/>
        <w:spacing w:after="60" w:line="312" w:lineRule="auto"/>
        <w:ind w:left="425"/>
      </w:pPr>
      <w:r>
        <w:rPr>
          <w:rFonts w:ascii="Times New Roman" w:hAnsi="Times New Roman" w:eastAsia="宋体"/>
          <w:sz w:val="21"/>
        </w:rPr>
        <w:t>扩容能力：后续每季度最多能供应几台？前置期多长？</w:t>
      </w:r>
    </w:p>
    <w:p>
      <w:pPr>
        <w:pStyle w:val="ListNumber"/>
        <w:spacing w:after="60" w:line="312" w:lineRule="auto"/>
        <w:ind w:left="425"/>
      </w:pPr>
      <w:r>
        <w:rPr>
          <w:rFonts w:ascii="Times New Roman" w:hAnsi="Times New Roman" w:eastAsia="宋体"/>
          <w:sz w:val="21"/>
        </w:rPr>
        <w:t>是否支持短租或按量计费做实测（阶段 3 需要）</w:t>
      </w:r>
    </w:p>
    <w:p>
      <w:pPr>
        <w:pStyle w:val="Heading3"/>
        <w:keepNext/>
        <w:spacing w:before="200" w:after="120"/>
      </w:pPr>
      <w:r>
        <w:rPr>
          <w:rFonts w:ascii="Segoe UI" w:hAnsi="Segoe UI" w:eastAsia="微软雅黑"/>
          <w:b/>
          <w:color w:val="1F3B63"/>
          <w:sz w:val="25"/>
        </w:rPr>
        <w:t>5.5 询价结果如何回填模型</w:t>
      </w:r>
    </w:p>
    <w:p>
      <w:pPr>
        <w:spacing w:after="120" w:line="324" w:lineRule="auto"/>
      </w:pPr>
      <w:r>
        <w:rPr>
          <w:rFonts w:ascii="Times New Roman" w:hAnsi="Times New Roman" w:eastAsia="宋体"/>
          <w:sz w:val="21"/>
        </w:rPr>
        <w:t xml:space="preserve">拿到报价后，替换 </w:t>
      </w:r>
      <w:r>
        <w:rPr>
          <w:rFonts w:ascii="Times New Roman" w:hAnsi="Times New Roman" w:eastAsia="宋体"/>
          <w:sz w:val="21"/>
        </w:rPr>
        <w:t>`model/params.yaml`</w:t>
      </w:r>
      <w:r>
        <w:rPr>
          <w:rFonts w:ascii="Times New Roman" w:hAnsi="Times New Roman" w:eastAsia="宋体"/>
          <w:color w:val="606060"/>
          <w:sz w:val="18"/>
        </w:rPr>
        <w:t>（model/params.yaml）</w:t>
      </w:r>
      <w:r>
        <w:rPr>
          <w:rFonts w:ascii="Times New Roman" w:hAnsi="Times New Roman" w:eastAsia="宋体"/>
          <w:sz w:val="21"/>
        </w:rPr>
        <w:t xml:space="preserve"> 中的对应项即可全局重算：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3061"/>
            <w:shd w:val="clear" w:color="auto" w:fill="1F3B63"/>
          </w:tcPr>
          <w:p>
            <w:pPr>
              <w:spacing w:after="40" w:before="4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询价项</w:t>
            </w:r>
          </w:p>
        </w:tc>
        <w:tc>
          <w:tcPr>
            <w:tcW w:type="dxa" w:w="3061"/>
            <w:shd w:val="clear" w:color="auto" w:fill="1F3B63"/>
          </w:tcPr>
          <w:p>
            <w:pPr>
              <w:spacing w:after="40" w:before="4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params.yaml 路径</w:t>
            </w:r>
          </w:p>
        </w:tc>
        <w:tc>
          <w:tcPr>
            <w:tcW w:type="dxa" w:w="3061"/>
            <w:shd w:val="clear" w:color="auto" w:fill="1F3B63"/>
          </w:tcPr>
          <w:p>
            <w:pPr>
              <w:spacing w:after="40" w:before="4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当前状态</w:t>
            </w:r>
          </w:p>
        </w:tc>
      </w:tr>
      <w:tr>
        <w:tc>
          <w:tcPr>
            <w:tcW w:type="dxa" w:w="3061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各国托管牌价</w:t>
            </w:r>
          </w:p>
        </w:tc>
        <w:tc>
          <w:tcPr>
            <w:tcW w:type="dxa" w:w="3061"/>
          </w:tcPr>
          <w:p>
            <w:pPr>
              <w:spacing w:after="40" w:before="40"/>
              <w:jc w:val="left"/>
            </w:pPr>
            <w:r>
              <w:rPr>
                <w:rFonts w:ascii="Consolas" w:hAnsi="Consolas" w:eastAsia="Consolas"/>
                <w:sz w:val="17"/>
              </w:rPr>
              <w:t>siting.relative_colo_ratio</w:t>
            </w:r>
            <w:r>
              <w:rPr>
                <w:rFonts w:ascii="Times New Roman" w:hAnsi="Times New Roman" w:eastAsia="宋体"/>
                <w:sz w:val="18"/>
              </w:rPr>
              <w:t xml:space="preserve"> / </w:t>
            </w:r>
            <w:r>
              <w:rPr>
                <w:rFonts w:ascii="Consolas" w:hAnsi="Consolas" w:eastAsia="Consolas"/>
                <w:sz w:val="17"/>
              </w:rPr>
              <w:t>siting.singapore_colo_usd_kw_month</w:t>
            </w:r>
          </w:p>
        </w:tc>
        <w:tc>
          <w:tcPr>
            <w:tcW w:type="dxa" w:w="3061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estimate（G-1）</w:t>
            </w:r>
          </w:p>
        </w:tc>
      </w:tr>
      <w:tr>
        <w:tc>
          <w:tcPr>
            <w:tcW w:type="dxa" w:w="3061"/>
            <w:shd w:val="clear" w:color="auto" w:fill="F7F8FA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各国电价</w:t>
            </w:r>
          </w:p>
        </w:tc>
        <w:tc>
          <w:tcPr>
            <w:tcW w:type="dxa" w:w="3061"/>
            <w:shd w:val="clear" w:color="auto" w:fill="F7F8FA"/>
          </w:tcPr>
          <w:p>
            <w:pPr>
              <w:spacing w:after="40" w:before="40"/>
              <w:jc w:val="left"/>
            </w:pPr>
            <w:r>
              <w:rPr>
                <w:rFonts w:ascii="Consolas" w:hAnsi="Consolas" w:eastAsia="Consolas"/>
                <w:sz w:val="17"/>
              </w:rPr>
              <w:t>siting.electricity_usd_kwh</w:t>
            </w:r>
          </w:p>
        </w:tc>
        <w:tc>
          <w:tcPr>
            <w:tcW w:type="dxa" w:w="3061"/>
            <w:shd w:val="clear" w:color="auto" w:fill="F7F8FA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仅 SG/MY 有值（G-2）</w:t>
            </w:r>
          </w:p>
        </w:tc>
      </w:tr>
      <w:tr>
        <w:tc>
          <w:tcPr>
            <w:tcW w:type="dxa" w:w="3061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实测网络延迟</w:t>
            </w:r>
          </w:p>
        </w:tc>
        <w:tc>
          <w:tcPr>
            <w:tcW w:type="dxa" w:w="3061"/>
          </w:tcPr>
          <w:p>
            <w:pPr>
              <w:spacing w:after="40" w:before="40"/>
              <w:jc w:val="left"/>
            </w:pPr>
            <w:r>
              <w:rPr>
                <w:rFonts w:ascii="Consolas" w:hAnsi="Consolas" w:eastAsia="Consolas"/>
                <w:sz w:val="17"/>
              </w:rPr>
              <w:t>siting.latency_hop_to_singapore_ms</w:t>
            </w:r>
          </w:p>
        </w:tc>
        <w:tc>
          <w:tcPr>
            <w:tcW w:type="dxa" w:w="3061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菲律宾为空（G-3）</w:t>
            </w:r>
          </w:p>
        </w:tc>
      </w:tr>
      <w:tr>
        <w:tc>
          <w:tcPr>
            <w:tcW w:type="dxa" w:w="3061"/>
            <w:shd w:val="clear" w:color="auto" w:fill="F7F8FA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租期</w:t>
            </w:r>
          </w:p>
        </w:tc>
        <w:tc>
          <w:tcPr>
            <w:tcW w:type="dxa" w:w="3061"/>
            <w:shd w:val="clear" w:color="auto" w:fill="F7F8FA"/>
          </w:tcPr>
          <w:p>
            <w:pPr>
              <w:spacing w:after="40" w:before="40"/>
              <w:jc w:val="left"/>
            </w:pPr>
            <w:r>
              <w:rPr>
                <w:rFonts w:ascii="Consolas" w:hAnsi="Consolas" w:eastAsia="Consolas"/>
                <w:sz w:val="17"/>
              </w:rPr>
              <w:t>assumptions.lease_term_months</w:t>
            </w:r>
          </w:p>
        </w:tc>
        <w:tc>
          <w:tcPr>
            <w:tcW w:type="dxa" w:w="3061"/>
            <w:shd w:val="clear" w:color="auto" w:fill="F7F8FA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假设 36（G-7）</w:t>
            </w:r>
          </w:p>
        </w:tc>
      </w:tr>
      <w:tr>
        <w:tc>
          <w:tcPr>
            <w:tcW w:type="dxa" w:w="3061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提前终止权</w:t>
            </w:r>
          </w:p>
        </w:tc>
        <w:tc>
          <w:tcPr>
            <w:tcW w:type="dxa" w:w="3061"/>
          </w:tcPr>
          <w:p>
            <w:pPr>
              <w:spacing w:after="40" w:before="40"/>
              <w:jc w:val="left"/>
            </w:pPr>
            <w:r>
              <w:rPr>
                <w:rFonts w:ascii="Consolas" w:hAnsi="Consolas" w:eastAsia="Consolas"/>
                <w:sz w:val="17"/>
              </w:rPr>
              <w:t>assumptions.early_termination_allowed</w:t>
            </w:r>
          </w:p>
        </w:tc>
        <w:tc>
          <w:tcPr>
            <w:tcW w:type="dxa" w:w="3061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假设 false（G-7）</w:t>
            </w:r>
          </w:p>
        </w:tc>
      </w:tr>
      <w:tr>
        <w:tc>
          <w:tcPr>
            <w:tcW w:type="dxa" w:w="3061"/>
            <w:shd w:val="clear" w:color="auto" w:fill="F7F8FA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押金月数</w:t>
            </w:r>
          </w:p>
        </w:tc>
        <w:tc>
          <w:tcPr>
            <w:tcW w:type="dxa" w:w="3061"/>
            <w:shd w:val="clear" w:color="auto" w:fill="F7F8FA"/>
          </w:tcPr>
          <w:p>
            <w:pPr>
              <w:spacing w:after="40" w:before="40"/>
              <w:jc w:val="left"/>
            </w:pPr>
            <w:r>
              <w:rPr>
                <w:rFonts w:ascii="Consolas" w:hAnsi="Consolas" w:eastAsia="Consolas"/>
                <w:sz w:val="17"/>
              </w:rPr>
              <w:t>assumptions.deposit_months</w:t>
            </w:r>
          </w:p>
        </w:tc>
        <w:tc>
          <w:tcPr>
            <w:tcW w:type="dxa" w:w="3061"/>
            <w:shd w:val="clear" w:color="auto" w:fill="F7F8FA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假设 2（G-7）</w:t>
            </w:r>
          </w:p>
        </w:tc>
      </w:tr>
      <w:tr>
        <w:tc>
          <w:tcPr>
            <w:tcW w:type="dxa" w:w="3061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交付前置期</w:t>
            </w:r>
          </w:p>
        </w:tc>
        <w:tc>
          <w:tcPr>
            <w:tcW w:type="dxa" w:w="3061"/>
          </w:tcPr>
          <w:p>
            <w:pPr>
              <w:spacing w:after="40" w:before="40"/>
              <w:jc w:val="left"/>
            </w:pPr>
            <w:r>
              <w:rPr>
                <w:rFonts w:ascii="Consolas" w:hAnsi="Consolas" w:eastAsia="Consolas"/>
                <w:sz w:val="17"/>
              </w:rPr>
              <w:t>assumptions.provisioning_lag_months</w:t>
            </w:r>
          </w:p>
        </w:tc>
        <w:tc>
          <w:tcPr>
            <w:tcW w:type="dxa" w:w="3061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估计值</w:t>
            </w:r>
          </w:p>
        </w:tc>
      </w:tr>
    </w:tbl>
    <w:p>
      <w:pPr>
        <w:spacing w:after="80"/>
      </w:pPr>
    </w:p>
    <w:p>
      <w:pPr>
        <w:spacing w:after="120" w:line="324" w:lineRule="auto"/>
      </w:pPr>
      <w:r>
        <w:rPr>
          <w:rFonts w:ascii="Times New Roman" w:hAnsi="Times New Roman" w:eastAsia="宋体"/>
          <w:sz w:val="21"/>
        </w:rPr>
        <w:t xml:space="preserve">改一处即全局重算，然后 </w:t>
      </w:r>
      <w:r>
        <w:rPr>
          <w:rFonts w:ascii="Consolas" w:hAnsi="Consolas" w:eastAsia="Consolas"/>
          <w:sz w:val="20"/>
        </w:rPr>
        <w:t>python model/run_all.py</w:t>
      </w:r>
      <w:r>
        <w:rPr>
          <w:rFonts w:ascii="Times New Roman" w:hAnsi="Times New Roman" w:eastAsia="宋体"/>
          <w:sz w:val="21"/>
        </w:rPr>
        <w:t xml:space="preserve"> 重新生成全部结论。</w:t>
      </w:r>
    </w:p>
    <w:p>
      <w:pPr>
        <w:spacing w:before="40" w:after="160"/>
        <w:pBdr>
          <w:bottom w:val="single" w:sz="6" w:color="D0D0D0"/>
        </w:pBdr>
      </w:pPr>
    </w:p>
    <w:p>
      <w:pPr>
        <w:pStyle w:val="Heading2"/>
        <w:keepNext/>
        <w:spacing w:before="320" w:after="120"/>
      </w:pPr>
      <w:r>
        <w:rPr>
          <w:rFonts w:ascii="Segoe UI" w:hAnsi="Segoe UI" w:eastAsia="微软雅黑"/>
          <w:b/>
          <w:color w:val="1F3B63"/>
          <w:sz w:val="30"/>
        </w:rPr>
        <w:t>六、选址推荐（在 Gate 0 通过的前提下）</w:t>
      </w:r>
    </w:p>
    <w:p>
      <w:pPr>
        <w:spacing w:after="120" w:line="324" w:lineRule="auto"/>
      </w:pPr>
      <w:r>
        <w:rPr>
          <w:rFonts w:ascii="Times New Roman" w:hAnsi="Times New Roman" w:eastAsia="宋体"/>
          <w:b/>
          <w:sz w:val="21"/>
        </w:rPr>
        <w:t>首选：泰国（曼谷），主体注册新加坡。</w:t>
      </w:r>
      <w:r>
        <w:rPr>
          <w:rFonts w:ascii="Times New Roman" w:hAnsi="Times New Roman" w:eastAsia="宋体"/>
          <w:sz w:val="21"/>
        </w:rPr>
        <w:t xml:space="preserve"> 理由按权重排序：</w:t>
      </w:r>
    </w:p>
    <w:p>
      <w:pPr>
        <w:pStyle w:val="ListNumber"/>
        <w:spacing w:after="60" w:line="312" w:lineRule="auto"/>
        <w:ind w:left="425"/>
      </w:pPr>
      <w:r>
        <w:rPr>
          <w:rFonts w:ascii="Times New Roman" w:hAnsi="Times New Roman" w:eastAsia="宋体"/>
          <w:sz w:val="21"/>
        </w:rPr>
        <w:t>有可指名的、已把 B300/GB300 投入实际运营的交易对手（Freyr AI）</w:t>
      </w:r>
    </w:p>
    <w:p>
      <w:pPr>
        <w:pStyle w:val="ListNumber"/>
        <w:spacing w:after="60" w:line="312" w:lineRule="auto"/>
        <w:ind w:left="425"/>
      </w:pPr>
      <w:r>
        <w:rPr>
          <w:rFonts w:ascii="Times New Roman" w:hAnsi="Times New Roman" w:eastAsia="宋体"/>
          <w:sz w:val="21"/>
        </w:rPr>
        <w:t>空置率 23.3%，是候选国中议价空间最大的</w:t>
      </w:r>
    </w:p>
    <w:p>
      <w:pPr>
        <w:pStyle w:val="ListNumber"/>
        <w:spacing w:after="60" w:line="312" w:lineRule="auto"/>
        <w:ind w:left="425"/>
      </w:pPr>
      <w:r>
        <w:rPr>
          <w:rFonts w:ascii="Times New Roman" w:hAnsi="Times New Roman" w:eastAsia="宋体"/>
          <w:sz w:val="21"/>
        </w:rPr>
        <w:t>企业所得税 20%，候选国中最低（新加坡除外）</w:t>
      </w:r>
    </w:p>
    <w:p>
      <w:pPr>
        <w:pStyle w:val="ListNumber"/>
        <w:spacing w:after="60" w:line="312" w:lineRule="auto"/>
        <w:ind w:left="425"/>
      </w:pPr>
      <w:r>
        <w:rPr>
          <w:rFonts w:ascii="Times New Roman" w:hAnsi="Times New Roman" w:eastAsia="宋体"/>
          <w:sz w:val="21"/>
        </w:rPr>
        <w:t>延迟代价仅 +4.78%，可忽略</w:t>
      </w:r>
    </w:p>
    <w:p>
      <w:pPr>
        <w:spacing w:after="120" w:line="324" w:lineRule="auto"/>
      </w:pPr>
      <w:r>
        <w:rPr>
          <w:rFonts w:ascii="Times New Roman" w:hAnsi="Times New Roman" w:eastAsia="宋体"/>
          <w:b/>
          <w:sz w:val="21"/>
        </w:rPr>
        <w:t>并列备选：印度尼西亚（雅加达）。</w:t>
      </w:r>
      <w:r>
        <w:rPr>
          <w:rFonts w:ascii="Times New Roman" w:hAnsi="Times New Roman" w:eastAsia="宋体"/>
          <w:sz w:val="21"/>
        </w:rPr>
        <w:t xml:space="preserve"> 托管成本估计最低（$195.9/kW·月），空置率 20.5% 同样是买方市场，延迟仅 +2.05%，且是唯一在中位硬件成本下该价位对出租方仍可持续的国家。</w:t>
      </w:r>
      <w:r>
        <w:rPr>
          <w:rFonts w:ascii="Times New Roman" w:hAnsi="Times New Roman" w:eastAsia="宋体"/>
          <w:b/>
          <w:sz w:val="21"/>
        </w:rPr>
        <w:t>但电价缺口（G-2）使这个结论悬而未决。</w:t>
      </w:r>
    </w:p>
    <w:p>
      <w:pPr>
        <w:spacing w:after="120" w:line="324" w:lineRule="auto"/>
      </w:pPr>
      <w:r>
        <w:rPr>
          <w:rFonts w:ascii="Times New Roman" w:hAnsi="Times New Roman" w:eastAsia="宋体"/>
          <w:b/>
          <w:sz w:val="21"/>
        </w:rPr>
        <w:t>马来西亚：价格已被独立验证，但议价空间最小。</w:t>
      </w:r>
      <w:r>
        <w:rPr>
          <w:rFonts w:ascii="Times New Roman" w:hAnsi="Times New Roman" w:eastAsia="宋体"/>
          <w:sz w:val="21"/>
        </w:rPr>
        <w:t xml:space="preserve"> Bit Origin 交易证明这个价在马来西亚是市价，且有可指名交易对手；但空置率 0.7%、企业所得税 24% 最高、MITI 许可增加 30 天前置期、还有水冷扩建限制需尽调。</w:t>
      </w:r>
    </w:p>
    <w:p>
      <w:pPr>
        <w:spacing w:after="120" w:line="324" w:lineRule="auto"/>
      </w:pPr>
      <w:r>
        <w:rPr>
          <w:rFonts w:ascii="Times New Roman" w:hAnsi="Times New Roman" w:eastAsia="宋体"/>
          <w:b/>
          <w:sz w:val="21"/>
        </w:rPr>
        <w:t>菲律宾：数据不足以评价。</w:t>
      </w:r>
      <w:r>
        <w:rPr>
          <w:rFonts w:ascii="Times New Roman" w:hAnsi="Times New Roman" w:eastAsia="宋体"/>
          <w:sz w:val="21"/>
        </w:rPr>
        <w:t xml:space="preserve"> 延迟、托管价、是否有 AI 芯片许可制三项全缺。</w:t>
      </w:r>
      <w:r>
        <w:rPr>
          <w:rFonts w:ascii="Times New Roman" w:hAnsi="Times New Roman" w:eastAsia="宋体"/>
          <w:b/>
          <w:sz w:val="21"/>
        </w:rPr>
        <w:t>不排除，但也不推荐——留空就是留空。</w:t>
      </w:r>
    </w:p>
    <w:p>
      <w:pPr>
        <w:spacing w:after="120" w:line="324" w:lineRule="auto"/>
      </w:pPr>
      <w:r>
        <w:rPr>
          <w:rFonts w:ascii="Times New Roman" w:hAnsi="Times New Roman" w:eastAsia="宋体"/>
          <w:b/>
          <w:sz w:val="21"/>
        </w:rPr>
        <w:t>新加坡：仅作成本上界对照。</w:t>
      </w:r>
      <w:r>
        <w:rPr>
          <w:rFonts w:ascii="Times New Roman" w:hAnsi="Times New Roman" w:eastAsia="宋体"/>
          <w:sz w:val="21"/>
        </w:rPr>
        <w:t xml:space="preserve"> 该价位在新加坡对出租方倒挂 13.0%，实际拿不到。</w:t>
      </w:r>
    </w:p>
    <w:p>
      <w:pPr>
        <w:spacing w:after="120" w:line="324" w:lineRule="auto"/>
      </w:pPr>
      <w:r>
        <w:rPr>
          <w:rFonts w:ascii="Times New Roman" w:hAnsi="Times New Roman" w:eastAsia="宋体"/>
          <w:b/>
          <w:sz w:val="21"/>
        </w:rPr>
        <w:t>越南：硬件拿得到，法律上拿不到。</w:t>
      </w:r>
      <w:r>
        <w:rPr>
          <w:rFonts w:ascii="Times New Roman" w:hAnsi="Times New Roman" w:eastAsia="宋体"/>
          <w:sz w:val="21"/>
        </w:rPr>
        <w:t xml:space="preserve"> FPT AI Factory 已上线 HGX B300 按需云，但越南在 Country Group D:1。</w:t>
      </w:r>
    </w:p>
    <w:sectPr w:rsidR="00FC693F" w:rsidRPr="0006063C" w:rsidSect="00034616">
      <w:footerReference w:type="default" r:id="rId9"/>
      <w:pgSz w:w="11906" w:h="16838"/>
      <w:pgMar w:top="1361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606060"/>
        <w:sz w:val="18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