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20" w:after="120"/>
        <w:jc w:val="center"/>
      </w:pPr>
      <w:r>
        <w:rPr>
          <w:rFonts w:ascii="Segoe UI" w:hAnsi="Segoe UI" w:eastAsia="微软雅黑"/>
          <w:b/>
          <w:color w:val="1F3B63"/>
          <w:sz w:val="40"/>
        </w:rPr>
        <w:t>东南亚 B300 + Kimi K3 投资可行性分析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在东南亚不受美国 GPU 出口管制的国家，以 15 万元人民币/月租用一台 8 卡 NVIDIA B300， 部署开放权重模型 Kimi K3，通过自建 API 与 OpenRouter 双轨售卖 token 的可行性测算。</w:t>
      </w: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读什么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`01-投资可行性分析报告.md`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（01-投资可行性分析报告.md）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主报告。结论先行，从这里开始读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`02-数据来源与核验附录.md`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（02-数据来源与核验附录.md）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每个外部事实的出处、原文摘录、矛盾取舍与数据缺口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`03-选址对比矩阵.md`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（03-选址对比矩阵.md）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八维选址对比与可直接使用的 RFQ 询价清单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全部计算产物（CSV + 图 + facts.json）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`model/`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（model/）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可复现的计算模型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怎么复算</w:t>
      </w:r>
    </w:p>
    <w:p>
      <w:pPr>
        <w:spacing w:before="80" w:after="160" w:line="276" w:lineRule="auto"/>
        <w:ind w:left="227"/>
        <w:shd w:val="clear" w:color="auto" w:fill="F2F3F5"/>
      </w:pPr>
      <w:r>
        <w:rPr>
          <w:rFonts w:ascii="Consolas" w:hAnsi="Consolas" w:eastAsia="Consolas"/>
          <w:sz w:val="17"/>
        </w:rPr>
        <w:t>pip install -r requirements.txt</w:t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python model/test_model.py     # 55 项模型自检（物理约束、会计恒等式、可证伪性）</w:t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python model/run_all.py        # 自检 + 重新生成全部 outputs/</w:t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python model/run_all.py --fast # 同上，蒙特卡洛降到 300 次，约 25 秒</w:t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python verify.py               # 60 项报告数字回溯核对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任何一项失败均以非零码退出。</w:t>
      </w: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想改参数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所有外生数字集中在 </w:t>
      </w:r>
      <w:r>
        <w:rPr>
          <w:rFonts w:ascii="Times New Roman" w:hAnsi="Times New Roman" w:eastAsia="宋体"/>
          <w:sz w:val="21"/>
        </w:rPr>
        <w:t>`model/params.yaml`</w:t>
      </w:r>
      <w:r>
        <w:rPr>
          <w:rFonts w:ascii="Times New Roman" w:hAnsi="Times New Roman" w:eastAsia="宋体"/>
          <w:color w:val="606060"/>
          <w:sz w:val="18"/>
        </w:rPr>
        <w:t>（model/params.yaml）</w:t>
      </w:r>
      <w:r>
        <w:rPr>
          <w:rFonts w:ascii="Times New Roman" w:hAnsi="Times New Roman" w:eastAsia="宋体"/>
          <w:sz w:val="21"/>
        </w:rPr>
        <w:t xml:space="preserve">，每项带 </w:t>
      </w:r>
      <w:r>
        <w:rPr>
          <w:rFonts w:ascii="Consolas" w:hAnsi="Consolas" w:eastAsia="Consolas"/>
          <w:sz w:val="20"/>
        </w:rPr>
        <w:t>src</w:t>
      </w:r>
      <w:r>
        <w:rPr>
          <w:rFonts w:ascii="Times New Roman" w:hAnsi="Times New Roman" w:eastAsia="宋体"/>
          <w:sz w:val="21"/>
        </w:rPr>
        <w:t xml:space="preserve">（可回溯到 </w:t>
      </w:r>
      <w:r>
        <w:rPr>
          <w:rFonts w:ascii="Consolas" w:hAnsi="Consolas" w:eastAsia="Consolas"/>
          <w:sz w:val="20"/>
        </w:rPr>
        <w:t>02-数据来源与核验附录.md</w:t>
      </w:r>
      <w:r>
        <w:rPr>
          <w:rFonts w:ascii="Times New Roman" w:hAnsi="Times New Roman" w:eastAsia="宋体"/>
          <w:sz w:val="21"/>
        </w:rPr>
        <w:t xml:space="preserve"> 的 S-xx 编号）、</w:t>
      </w:r>
      <w:r>
        <w:rPr>
          <w:rFonts w:ascii="Consolas" w:hAnsi="Consolas" w:eastAsia="Consolas"/>
          <w:sz w:val="20"/>
        </w:rPr>
        <w:t>date</w:t>
      </w:r>
      <w:r>
        <w:rPr>
          <w:rFonts w:ascii="Times New Roman" w:hAnsi="Times New Roman" w:eastAsia="宋体"/>
          <w:sz w:val="21"/>
        </w:rPr>
        <w:t xml:space="preserve"> 与说明。改一处即全局重算。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三个最值得替换成你自己判断的参数：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为什么关键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年化价格侵蚀率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assumptions.price_erosion_annual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20%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单独决定九种情景中哪些成立，且无历史序列可拟合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租约期限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assumptions.lease_term_months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36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决定下行敞口。改成 12 可把第 6 月失败的损失从 57.0 万降到 12.8 万美元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需求爬坡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assumptions.demand_scenarios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三情景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全模型唯一完全无外部依据的输入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模块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params.py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参数加载器。代码中不出现裸字面量常数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compliance_screen.py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三层出口管制筛查（实体属性 / 目的地属性 / 东道国管制）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rent_validation.py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租金三路交叉验证 + 出租方成本反推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siting.py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选址矩阵、延迟与 SLO、各国税负、结构选择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capacity.py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产能：实测标定 + 分段幂律插值 + roofline 护栏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revenue.py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收入、盈亏平衡、自建 vs 采购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rolling.py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按月滚动 + 复利再投资 + 租约清算期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metrics.py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收益率与资金使用效率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sensitivity.py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单因素敏感性、平衡曲面、跨选址、蒙特卡洛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run_all.py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一键复现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test_model.py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55 项自检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与姊妹报告的关系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`../b300-kimi-k3/`</w:t>
      </w:r>
      <w:r>
        <w:rPr>
          <w:rFonts w:ascii="Times New Roman" w:hAnsi="Times New Roman" w:eastAsia="宋体"/>
          <w:color w:val="606060"/>
          <w:sz w:val="18"/>
        </w:rPr>
        <w:t>（../b300-kimi-k3/）</w:t>
      </w:r>
      <w:r>
        <w:rPr>
          <w:rFonts w:ascii="Times New Roman" w:hAnsi="Times New Roman" w:eastAsia="宋体"/>
          <w:sz w:val="21"/>
        </w:rPr>
        <w:t xml:space="preserve"> 分析同一模式在</w:t>
      </w:r>
      <w:r>
        <w:rPr>
          <w:rFonts w:ascii="Times New Roman" w:hAnsi="Times New Roman" w:eastAsia="宋体"/>
          <w:b/>
          <w:sz w:val="21"/>
        </w:rPr>
        <w:t>中国境内 35 万元/月</w:t>
      </w:r>
      <w:r>
        <w:rPr>
          <w:rFonts w:ascii="Times New Roman" w:hAnsi="Times New Roman" w:eastAsia="宋体"/>
          <w:sz w:val="21"/>
        </w:rPr>
        <w:t>的情形。 两份共用同一套技术事实与方法论，本报告新增三层合规筛查、多国选址、租金交叉验证、 营运资金与账期、逐年计税、租约清算期与尾部义务、下行不对称、蒙特卡洛。</w:t>
      </w:r>
    </w:p>
    <w:sectPr w:rsidR="00FC693F" w:rsidRPr="0006063C" w:rsidSect="00034616">
      <w:footerReference w:type="default" r:id="rId9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0606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