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Calibri" w:hAnsi="Calibri"/>
          <w:b/>
          <w:color w:val="2E75B6"/>
          <w:sz w:val="18"/>
        </w:rPr>
        <w:t>RESEARCH CONCLUSIONS</w:t>
      </w:r>
    </w:p>
    <w:p>
      <w:pPr>
        <w:spacing w:after="60"/>
      </w:pPr>
      <w:r>
        <w:rPr>
          <w:rFonts w:ascii="Calibri" w:hAnsi="Calibri"/>
          <w:b/>
          <w:color w:val="17324D"/>
          <w:sz w:val="44"/>
        </w:rPr>
        <w:t>Camera pose improves geometry-based matching under camera motion</w:t>
      </w:r>
    </w:p>
    <w:p>
      <w:pPr>
        <w:spacing w:after="280"/>
      </w:pPr>
      <w:r>
        <w:rPr>
          <w:rFonts w:ascii="Calibri" w:hAnsi="Calibri"/>
          <w:i/>
          <w:color w:val="52606D"/>
          <w:sz w:val="23"/>
        </w:rPr>
        <w:t>MOVi-D fixed-camera control • MOVi-E moving-camera confirmation • Transfer and pose-noise evidence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1"/>
              </w:rPr>
              <w:t xml:space="preserve">BOTTOM LINE  </w:t>
            </w:r>
            <w:r>
              <w:rPr>
                <w:rFonts w:ascii="Calibri" w:hAnsi="Calibri"/>
                <w:color w:val="17212B"/>
                <w:sz w:val="21"/>
              </w:rPr>
              <w:t>The predeclared primary hypothesis passed: pose-aligned geometry improved AUROC over camera-space geometry on moving-camera MOVi-E. The gain is statistically supported, small in absolute size, and strongest in higher-motion strata.</w:t>
            </w:r>
          </w:p>
        </w:tc>
      </w:tr>
    </w:tbl>
    <w:p>
      <w:pPr>
        <w:pStyle w:val="Heading1"/>
      </w:pPr>
      <w:r>
        <w:t>What the experiment found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600"/>
        <w:gridCol w:w="2300"/>
        <w:gridCol w:w="2860"/>
      </w:tblGrid>
      <w:tr>
        <w:tc>
          <w:tcPr>
            <w:tcW w:type="dxa" w:w="2600"/>
            <w:shd w:fill="2E75B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Comparison</w:t>
            </w:r>
          </w:p>
        </w:tc>
        <w:tc>
          <w:tcPr>
            <w:tcW w:type="dxa" w:w="1600"/>
            <w:shd w:fill="2E75B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AUROC difference</w:t>
            </w:r>
          </w:p>
        </w:tc>
        <w:tc>
          <w:tcPr>
            <w:tcW w:type="dxa" w:w="2300"/>
            <w:shd w:fill="2E75B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Paired 95% CI</w:t>
            </w:r>
          </w:p>
        </w:tc>
        <w:tc>
          <w:tcPr>
            <w:tcW w:type="dxa" w:w="2860"/>
            <w:shd w:fill="2E75B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color w:val="17212B"/>
                <w:sz w:val="18"/>
              </w:rPr>
              <w:t>MOVi-E primary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color w:val="17212B"/>
                <w:sz w:val="18"/>
              </w:rPr>
              <w:t>+0.003057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color w:val="17212B"/>
                <w:sz w:val="18"/>
              </w:rPr>
              <w:t>0.001131 to 0.005166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color w:val="17212B"/>
                <w:sz w:val="18"/>
              </w:rPr>
              <w:t>Supported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color w:val="17212B"/>
                <w:sz w:val="18"/>
              </w:rPr>
              <w:t>Translation high vs low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color w:val="17212B"/>
                <w:sz w:val="18"/>
              </w:rPr>
              <w:t>+0.005408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color w:val="17212B"/>
                <w:sz w:val="18"/>
              </w:rPr>
              <w:t>0.001037 to 0.011271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color w:val="17212B"/>
                <w:sz w:val="18"/>
              </w:rPr>
              <w:t>Supported secondary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color w:val="17212B"/>
                <w:sz w:val="18"/>
              </w:rPr>
              <w:t>Rotation high vs low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color w:val="17212B"/>
                <w:sz w:val="18"/>
              </w:rPr>
              <w:t>+0.006070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color w:val="17212B"/>
                <w:sz w:val="18"/>
              </w:rPr>
              <w:t>0.001185 to 0.011617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color w:val="17212B"/>
                <w:sz w:val="18"/>
              </w:rPr>
              <w:t>Supported secondary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color w:val="17212B"/>
                <w:sz w:val="18"/>
              </w:rPr>
              <w:t>MOVi-D fixed camera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color w:val="17212B"/>
                <w:sz w:val="18"/>
              </w:rPr>
              <w:t>+0.001615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color w:val="17212B"/>
                <w:sz w:val="18"/>
              </w:rPr>
              <w:t>-0.002037 to 0.004542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color w:val="17212B"/>
                <w:sz w:val="18"/>
              </w:rPr>
              <w:t>Consistent; not equivalence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color w:val="17212B"/>
                <w:sz w:val="18"/>
              </w:rPr>
              <w:t>D→E transfer vs in-domain D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color w:val="17212B"/>
                <w:sz w:val="18"/>
              </w:rPr>
              <w:t>-0.000154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color w:val="17212B"/>
                <w:sz w:val="18"/>
              </w:rPr>
              <w:t>-0.000983 to 0.000934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color w:val="17212B"/>
                <w:sz w:val="18"/>
              </w:rPr>
              <w:t>AUROC transfers</w:t>
            </w:r>
          </w:p>
        </w:tc>
      </w:tr>
    </w:tbl>
    <w:p>
      <w:pPr>
        <w:pStyle w:val="ListBullet"/>
        <w:spacing w:after="100" w:line="264" w:lineRule="auto"/>
      </w:pPr>
      <w:r>
        <w:rPr>
          <w:rFonts w:ascii="Calibri" w:hAnsi="Calibri"/>
          <w:color w:val="17212B"/>
          <w:sz w:val="21"/>
        </w:rPr>
        <w:t>At the fixed operating point, D reduced MOVi-E false-match rate by 0.002 and increased recall by 0.010 versus C, but both paired confidence intervals included zero; the operating-point claim remains unresolved.</w:t>
      </w:r>
    </w:p>
    <w:p>
      <w:pPr>
        <w:pStyle w:val="ListBullet"/>
        <w:spacing w:after="100" w:line="264" w:lineRule="auto"/>
      </w:pPr>
      <w:r>
        <w:rPr>
          <w:rFonts w:ascii="Calibri" w:hAnsi="Calibri"/>
          <w:color w:val="17212B"/>
          <w:sz w:val="21"/>
        </w:rPr>
        <w:t>Shuffled pose removed the correct-pose advantage, and stronger injected pose noise degraded performance. Together with the motion-stratum result, this supports a camera-coordinate mechanism rather than pose acting as a label shortcut.</w:t>
      </w:r>
    </w:p>
    <w:p>
      <w:pPr>
        <w:pStyle w:val="ListBullet"/>
        <w:spacing w:after="100" w:line="264" w:lineRule="auto"/>
      </w:pPr>
      <w:r>
        <w:rPr>
          <w:rFonts w:ascii="Calibri" w:hAnsi="Calibri"/>
          <w:color w:val="17212B"/>
          <w:sz w:val="21"/>
        </w:rPr>
        <w:t>MOVi-D-to-MOVi-E transfer preserved discrimination, but false-match rate was 0.006 higher than in-domain D (95% CI 0.001005 to 0.011952) at the MOVi-D threshold. Cross-domain threshold calibration matters.</w:t>
      </w:r>
    </w:p>
    <w:p>
      <w:pPr>
        <w:pStyle w:val="Heading1"/>
      </w:pPr>
      <w:r>
        <w:t>What the result does not establish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1CC"/>
          </w:tcPr>
          <w:p>
            <w:r>
              <w:rPr>
                <w:rFonts w:ascii="Calibri" w:hAnsi="Calibri"/>
                <w:b/>
                <w:color w:val="17324D"/>
                <w:sz w:val="21"/>
              </w:rPr>
              <w:t xml:space="preserve">ORACLE-GEOMETRY LIMITATION. </w:t>
            </w:r>
            <w:r>
              <w:rPr>
                <w:rFonts w:ascii="Calibri" w:hAnsi="Calibri"/>
                <w:color w:val="17212B"/>
                <w:sz w:val="21"/>
              </w:rPr>
              <w:t>The experiment uses simulator masks, depth, intrinsics, and camera poses. It isolates whether correct pose alignment can help; it does not demonstrate a deployable system using estimated masks, monocular depth, or visual-inertial pose.</w:t>
            </w:r>
          </w:p>
          <w:p>
            <w:r>
              <w:rPr>
                <w:rFonts w:ascii="Calibri" w:hAnsi="Calibri"/>
                <w:b/>
                <w:color w:val="17324D"/>
                <w:sz w:val="21"/>
              </w:rPr>
              <w:t xml:space="preserve">FIXED-CAMERA LIMITATION. </w:t>
            </w:r>
            <w:r>
              <w:rPr>
                <w:rFonts w:ascii="Calibri" w:hAnsi="Calibri"/>
                <w:color w:val="17212B"/>
                <w:sz w:val="21"/>
              </w:rPr>
              <w:t>MOVi-D is a synthetic fixed-camera control, not evidence for every static-camera setting. MOVi-D and MOVi-E are not paired counterfactual renders of identical scenes, so the cross-dataset difference-in-differences remains descriptive.</w:t>
            </w:r>
          </w:p>
        </w:tc>
      </w:tr>
    </w:tbl>
    <w:p>
      <w:pPr>
        <w:pStyle w:val="ListBullet"/>
        <w:spacing w:after="100" w:line="264" w:lineRule="auto"/>
      </w:pPr>
      <w:r>
        <w:rPr>
          <w:rFonts w:ascii="Calibri" w:hAnsi="Calibri"/>
          <w:color w:val="17212B"/>
          <w:sz w:val="21"/>
        </w:rPr>
        <w:t>Both datasets are synthetic and all benchmark pairs are within-video; no claim is made about cross-video re-identification, real sensor noise, rolling shutter, dynamic backgrounds, or camera-pose estimator failures.</w:t>
      </w:r>
    </w:p>
    <w:p>
      <w:pPr>
        <w:pStyle w:val="ListBullet"/>
        <w:spacing w:after="100" w:line="264" w:lineRule="auto"/>
      </w:pPr>
      <w:r>
        <w:rPr>
          <w:rFonts w:ascii="Calibri" w:hAnsi="Calibri"/>
          <w:color w:val="17212B"/>
          <w:sz w:val="21"/>
        </w:rPr>
        <w:t>Failure cases remain concentrated around occlusion-truncated masks, matched-category distractors, long temporal gaps, camera-space misalignment, and visible-surface/depth instability.</w:t>
      </w:r>
    </w:p>
    <w:p>
      <w:pPr>
        <w:pStyle w:val="Heading1"/>
      </w:pPr>
      <w:r>
        <w:t>Recommended next steps</w:t>
      </w:r>
    </w:p>
    <w:p>
      <w:pPr>
        <w:pStyle w:val="ListNumber"/>
        <w:spacing w:after="100" w:line="264" w:lineRule="auto"/>
      </w:pPr>
      <w:r>
        <w:rPr>
          <w:rFonts w:ascii="Calibri" w:hAnsi="Calibri"/>
          <w:color w:val="17212B"/>
          <w:sz w:val="21"/>
        </w:rPr>
        <w:t>Replace oracle pose, depth, and masks one component at a time with estimated inputs and attribute the resulting accuracy loss.</w:t>
      </w:r>
    </w:p>
    <w:p>
      <w:pPr>
        <w:pStyle w:val="ListNumber"/>
        <w:spacing w:after="100" w:line="264" w:lineRule="auto"/>
      </w:pPr>
      <w:r>
        <w:rPr>
          <w:rFonts w:ascii="Calibri" w:hAnsi="Calibri"/>
          <w:color w:val="17212B"/>
          <w:sz w:val="21"/>
        </w:rPr>
        <w:t>Add correlated trajectory noise, drift, and synchronization error; the current noise grid is a controlled sensitivity study, not a full estimator model.</w:t>
      </w:r>
    </w:p>
    <w:p>
      <w:pPr>
        <w:pStyle w:val="ListNumber"/>
        <w:spacing w:after="100" w:line="264" w:lineRule="auto"/>
      </w:pPr>
      <w:r>
        <w:rPr>
          <w:rFonts w:ascii="Calibri" w:hAnsi="Calibri"/>
          <w:color w:val="17212B"/>
          <w:sz w:val="21"/>
        </w:rPr>
        <w:t>Render matched fixed- and moving-camera versions of identical scenes to create a true camera-motion counterfactual.</w:t>
      </w:r>
    </w:p>
    <w:p>
      <w:pPr>
        <w:pStyle w:val="ListNumber"/>
        <w:spacing w:after="100" w:line="264" w:lineRule="auto"/>
      </w:pPr>
      <w:r>
        <w:rPr>
          <w:rFonts w:ascii="Calibri" w:hAnsi="Calibri"/>
          <w:color w:val="17212B"/>
          <w:sz w:val="21"/>
        </w:rPr>
        <w:t>Test target-threshold recalibration and unsupervised adaptation while keeping the MOVi-E test pool locked.</w:t>
      </w:r>
    </w:p>
    <w:p>
      <w:pPr>
        <w:pStyle w:val="ListNumber"/>
        <w:spacing w:after="100" w:line="264" w:lineRule="auto"/>
      </w:pPr>
      <w:r>
        <w:rPr>
          <w:rFonts w:ascii="Calibri" w:hAnsi="Calibri"/>
          <w:color w:val="17212B"/>
          <w:sz w:val="21"/>
        </w:rPr>
        <w:t>Validate on real handheld and fixed-camera footage before adding cross-video matching or deployment claims.</w:t>
      </w:r>
    </w:p>
    <w:p>
      <w:pPr>
        <w:pStyle w:val="Heading1"/>
      </w:pPr>
      <w:r>
        <w:t>Release pointers</w:t>
      </w:r>
    </w:p>
    <w:p>
      <w:pPr>
        <w:spacing w:after="0"/>
      </w:pPr>
      <w:r>
        <w:rPr>
          <w:rFonts w:ascii="Calibri" w:hAnsi="Calibri"/>
          <w:b/>
          <w:color w:val="17212B"/>
          <w:sz w:val="19"/>
        </w:rPr>
        <w:t xml:space="preserve">Full tables: </w:t>
      </w:r>
      <w:r>
        <w:rPr>
          <w:rFonts w:ascii="Calibri" w:hAnsi="Calibri"/>
          <w:color w:val="17212B"/>
          <w:sz w:val="19"/>
        </w:rPr>
        <w:t xml:space="preserve">docs/MOVI_DE_RESULTS_TABLES.xlsx  •  </w:t>
      </w:r>
      <w:r>
        <w:rPr>
          <w:rFonts w:ascii="Calibri" w:hAnsi="Calibri"/>
          <w:b/>
          <w:color w:val="17212B"/>
          <w:sz w:val="19"/>
        </w:rPr>
        <w:t xml:space="preserve">Failure gallery: </w:t>
      </w:r>
      <w:r>
        <w:rPr>
          <w:rFonts w:ascii="Calibri" w:hAnsi="Calibri"/>
          <w:color w:val="17212B"/>
          <w:sz w:val="19"/>
        </w:rPr>
        <w:t xml:space="preserve">failure_gallery/movi_de_phase10/failure_gallery.html  •  </w:t>
      </w:r>
      <w:r>
        <w:rPr>
          <w:rFonts w:ascii="Calibri" w:hAnsi="Calibri"/>
          <w:b/>
          <w:color w:val="17212B"/>
          <w:sz w:val="19"/>
        </w:rPr>
        <w:t xml:space="preserve">Machine-readable evidence: </w:t>
      </w:r>
      <w:r>
        <w:rPr>
          <w:rFonts w:ascii="Calibri" w:hAnsi="Calibri"/>
          <w:color w:val="17212B"/>
          <w:sz w:val="19"/>
        </w:rPr>
        <w:t>results/movi_de_phase9/phase9_criteria_evaluation.json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37083"/>
        <w:sz w:val="16"/>
      </w:rPr>
      <w:t>Synthetic within-video matching study  •  Locked release 2026-08-25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37083"/>
        <w:sz w:val="17"/>
      </w:rPr>
      <w:t>MOVi-D/E CAMERA-POSE EXTENSION  |  FINAL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5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MOVi-D/E Camera-Pose Extension: Conclusions and Next Steps</dc:title>
  <dc:subject>Final research brief</dc:subject>
  <dc:creator>Research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