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60" w:type="dxa"/>
        <w:jc w:val="center"/>
        <w:tblLayout w:type="fixed"/>
        <w:tblLook w:val="04A0" w:firstRow="1" w:lastRow="0" w:firstColumn="1" w:lastColumn="0" w:noHBand="0" w:noVBand="1"/>
      </w:tblPr>
      <w:tblGrid>
        <w:gridCol w:w="4680"/>
        <w:gridCol w:w="4680"/>
      </w:tblGrid>
      <w:tr w:rsidR="00F945BC" w:rsidRPr="0013023A" w14:paraId="7302FBC1" w14:textId="77777777">
        <w:trPr>
          <w:tblHeader/>
          <w:jc w:val="center"/>
        </w:trPr>
        <w:tc>
          <w:tcPr>
            <w:tcW w:w="4680" w:type="dxa"/>
            <w:gridSpan w:val="2"/>
            <w:shd w:val="clear" w:color="auto" w:fill="16324F"/>
          </w:tcPr>
          <w:p w14:paraId="3481CF85" w14:textId="77777777" w:rsidR="00F945BC" w:rsidRPr="0013023A" w:rsidRDefault="00000000">
            <w:r w:rsidRPr="0013023A">
              <w:rPr>
                <w:b/>
                <w:color w:val="FFFFFF"/>
                <w:sz w:val="42"/>
              </w:rPr>
              <w:t>CONCLUSIONS &amp; NEXT STEPS</w:t>
            </w:r>
          </w:p>
        </w:tc>
      </w:tr>
      <w:tr w:rsidR="00F945BC" w:rsidRPr="0013023A" w14:paraId="65D3A4BE" w14:textId="77777777">
        <w:trPr>
          <w:jc w:val="center"/>
        </w:trPr>
        <w:tc>
          <w:tcPr>
            <w:tcW w:w="4680" w:type="dxa"/>
            <w:shd w:val="clear" w:color="auto" w:fill="EAF1F7"/>
            <w:vAlign w:val="center"/>
          </w:tcPr>
          <w:p w14:paraId="5480FE2B" w14:textId="77777777" w:rsidR="00F945BC" w:rsidRPr="0013023A" w:rsidRDefault="00000000">
            <w:r w:rsidRPr="0013023A">
              <w:rPr>
                <w:b/>
                <w:color w:val="16324F"/>
                <w:sz w:val="18"/>
              </w:rPr>
              <w:t>PROJECT</w:t>
            </w:r>
            <w:r w:rsidRPr="0013023A">
              <w:rPr>
                <w:b/>
                <w:color w:val="16324F"/>
                <w:sz w:val="18"/>
              </w:rPr>
              <w:br/>
              <w:t>MOVi-A geometry study</w:t>
            </w:r>
          </w:p>
        </w:tc>
        <w:tc>
          <w:tcPr>
            <w:tcW w:w="4680" w:type="dxa"/>
            <w:shd w:val="clear" w:color="auto" w:fill="EAF1F7"/>
            <w:vAlign w:val="center"/>
          </w:tcPr>
          <w:p w14:paraId="73A3968D" w14:textId="77777777" w:rsidR="00F945BC" w:rsidRPr="0013023A" w:rsidRDefault="00000000">
            <w:r w:rsidRPr="0013023A">
              <w:rPr>
                <w:b/>
                <w:color w:val="16324F"/>
                <w:sz w:val="18"/>
              </w:rPr>
              <w:t>STATUS</w:t>
            </w:r>
            <w:r w:rsidRPr="0013023A">
              <w:rPr>
                <w:b/>
                <w:color w:val="16324F"/>
                <w:sz w:val="18"/>
              </w:rPr>
              <w:br/>
              <w:t>Locked analysis complete</w:t>
            </w:r>
          </w:p>
        </w:tc>
      </w:tr>
    </w:tbl>
    <w:p w14:paraId="0364013E" w14:textId="77777777" w:rsidR="00F945BC" w:rsidRDefault="00000000">
      <w:pPr>
        <w:spacing w:before="220" w:after="180"/>
      </w:pPr>
      <w:r>
        <w:rPr>
          <w:b/>
          <w:color w:val="16324F"/>
        </w:rPr>
        <w:t xml:space="preserve">Decision summary. </w:t>
      </w:r>
      <w:r>
        <w:t>Clean, depth-derived 3D geometry materially improved same-instance matching over RGB+2D controls on the locked MOVi-A test set. The evidence supports geometry as a useful disambiguating signal in this controlled setting—not as a claim of deployment-ready performance.</w:t>
      </w:r>
    </w:p>
    <w:p w14:paraId="2E905070" w14:textId="77777777" w:rsidR="00F945BC" w:rsidRPr="000F1AFA" w:rsidRDefault="00000000">
      <w:pPr>
        <w:pStyle w:val="Heading1"/>
        <w:rPr>
          <w:lang w:val="en-CA" w:eastAsia="zh-CN"/>
        </w:rPr>
      </w:pPr>
      <w:r>
        <w:t>What the experiment established</w:t>
      </w:r>
    </w:p>
    <w:p w14:paraId="716A92E7" w14:textId="77777777" w:rsidR="00F945BC" w:rsidRDefault="00000000">
      <w:r>
        <w:t>Configuration C (RGB+2D+3D) outperformed configuration B (RGB+2D) across AUROC, PR-AUC, locked-threshold F1, and false-match rate at the dev-selected 90%-recall operating point. The paired video-cluster intervals excluded zero for these four comparisons; the achieved-recall interval did not.</w:t>
      </w:r>
    </w:p>
    <w:tbl>
      <w:tblPr>
        <w:tblStyle w:val="TableGrid"/>
        <w:tblW w:w="9360" w:type="dxa"/>
        <w:jc w:val="center"/>
        <w:tblLayout w:type="fixed"/>
        <w:tblLook w:val="04A0" w:firstRow="1" w:lastRow="0" w:firstColumn="1" w:lastColumn="0" w:noHBand="0" w:noVBand="1"/>
      </w:tblPr>
      <w:tblGrid>
        <w:gridCol w:w="2580"/>
        <w:gridCol w:w="1540"/>
        <w:gridCol w:w="1740"/>
        <w:gridCol w:w="3500"/>
      </w:tblGrid>
      <w:tr w:rsidR="00F945BC" w14:paraId="7E6E158A" w14:textId="77777777">
        <w:trPr>
          <w:tblHeader/>
          <w:jc w:val="center"/>
        </w:trPr>
        <w:tc>
          <w:tcPr>
            <w:tcW w:w="2580" w:type="dxa"/>
            <w:shd w:val="clear" w:color="auto" w:fill="2F6690"/>
            <w:vAlign w:val="center"/>
          </w:tcPr>
          <w:p w14:paraId="2092AD4B" w14:textId="77777777" w:rsidR="00F945BC" w:rsidRDefault="00000000">
            <w:pPr>
              <w:spacing w:after="0"/>
            </w:pPr>
            <w:r>
              <w:rPr>
                <w:b/>
                <w:color w:val="FFFFFF"/>
              </w:rPr>
              <w:t>Metric</w:t>
            </w:r>
          </w:p>
        </w:tc>
        <w:tc>
          <w:tcPr>
            <w:tcW w:w="1540" w:type="dxa"/>
            <w:shd w:val="clear" w:color="auto" w:fill="2F6690"/>
            <w:vAlign w:val="center"/>
          </w:tcPr>
          <w:p w14:paraId="360ED603" w14:textId="77777777" w:rsidR="00F945BC" w:rsidRDefault="00000000">
            <w:pPr>
              <w:spacing w:after="0"/>
            </w:pPr>
            <w:r>
              <w:rPr>
                <w:b/>
                <w:color w:val="FFFFFF"/>
              </w:rPr>
              <w:t>B: RGB+2D</w:t>
            </w:r>
          </w:p>
        </w:tc>
        <w:tc>
          <w:tcPr>
            <w:tcW w:w="1740" w:type="dxa"/>
            <w:shd w:val="clear" w:color="auto" w:fill="2F6690"/>
            <w:vAlign w:val="center"/>
          </w:tcPr>
          <w:p w14:paraId="7234FAAB" w14:textId="77777777" w:rsidR="00F945BC" w:rsidRDefault="00000000">
            <w:pPr>
              <w:spacing w:after="0"/>
            </w:pPr>
            <w:r>
              <w:rPr>
                <w:b/>
                <w:color w:val="FFFFFF"/>
              </w:rPr>
              <w:t>C: RGB+2D+3D</w:t>
            </w:r>
          </w:p>
        </w:tc>
        <w:tc>
          <w:tcPr>
            <w:tcW w:w="3500" w:type="dxa"/>
            <w:shd w:val="clear" w:color="auto" w:fill="2F6690"/>
            <w:vAlign w:val="center"/>
          </w:tcPr>
          <w:p w14:paraId="75815A32" w14:textId="77777777" w:rsidR="00F945BC" w:rsidRDefault="00000000">
            <w:pPr>
              <w:spacing w:after="0"/>
            </w:pPr>
            <w:r>
              <w:rPr>
                <w:b/>
                <w:color w:val="FFFFFF"/>
              </w:rPr>
              <w:t>C − B (95% CI)</w:t>
            </w:r>
          </w:p>
        </w:tc>
      </w:tr>
      <w:tr w:rsidR="00F945BC" w14:paraId="5DB35B2B" w14:textId="77777777">
        <w:trPr>
          <w:jc w:val="center"/>
        </w:trPr>
        <w:tc>
          <w:tcPr>
            <w:tcW w:w="2580" w:type="dxa"/>
            <w:vAlign w:val="center"/>
          </w:tcPr>
          <w:p w14:paraId="603D4631" w14:textId="77777777" w:rsidR="00F945BC" w:rsidRDefault="00000000">
            <w:pPr>
              <w:spacing w:after="0"/>
            </w:pPr>
            <w:r>
              <w:t>AUROC</w:t>
            </w:r>
          </w:p>
        </w:tc>
        <w:tc>
          <w:tcPr>
            <w:tcW w:w="1540" w:type="dxa"/>
            <w:vAlign w:val="center"/>
          </w:tcPr>
          <w:p w14:paraId="29BAB7C5" w14:textId="77777777" w:rsidR="00F945BC" w:rsidRDefault="00000000">
            <w:pPr>
              <w:spacing w:after="0"/>
              <w:jc w:val="right"/>
            </w:pPr>
            <w:r>
              <w:t>0.8278</w:t>
            </w:r>
          </w:p>
        </w:tc>
        <w:tc>
          <w:tcPr>
            <w:tcW w:w="1740" w:type="dxa"/>
            <w:vAlign w:val="center"/>
          </w:tcPr>
          <w:p w14:paraId="7B28BE9B" w14:textId="77777777" w:rsidR="00F945BC" w:rsidRDefault="00000000">
            <w:pPr>
              <w:spacing w:after="0"/>
              <w:jc w:val="right"/>
            </w:pPr>
            <w:r>
              <w:t>0.8884</w:t>
            </w:r>
          </w:p>
        </w:tc>
        <w:tc>
          <w:tcPr>
            <w:tcW w:w="3500" w:type="dxa"/>
            <w:vAlign w:val="center"/>
          </w:tcPr>
          <w:p w14:paraId="6525296E" w14:textId="77777777" w:rsidR="00F945BC" w:rsidRDefault="00000000">
            <w:pPr>
              <w:spacing w:after="0"/>
              <w:jc w:val="right"/>
            </w:pPr>
            <w:r>
              <w:t>+0.0607  (0.0427, 0.0822)</w:t>
            </w:r>
          </w:p>
        </w:tc>
      </w:tr>
      <w:tr w:rsidR="00F945BC" w14:paraId="6C5ED85F" w14:textId="77777777">
        <w:trPr>
          <w:jc w:val="center"/>
        </w:trPr>
        <w:tc>
          <w:tcPr>
            <w:tcW w:w="2580" w:type="dxa"/>
            <w:shd w:val="clear" w:color="auto" w:fill="F4F7FA"/>
            <w:vAlign w:val="center"/>
          </w:tcPr>
          <w:p w14:paraId="44BD6447" w14:textId="77777777" w:rsidR="00F945BC" w:rsidRDefault="00000000">
            <w:pPr>
              <w:spacing w:after="0"/>
            </w:pPr>
            <w:r>
              <w:t>PR-AUC</w:t>
            </w:r>
          </w:p>
        </w:tc>
        <w:tc>
          <w:tcPr>
            <w:tcW w:w="1540" w:type="dxa"/>
            <w:shd w:val="clear" w:color="auto" w:fill="F4F7FA"/>
            <w:vAlign w:val="center"/>
          </w:tcPr>
          <w:p w14:paraId="30BCC199" w14:textId="77777777" w:rsidR="00F945BC" w:rsidRDefault="00000000">
            <w:pPr>
              <w:spacing w:after="0"/>
              <w:jc w:val="right"/>
            </w:pPr>
            <w:r>
              <w:t>0.8091</w:t>
            </w:r>
          </w:p>
        </w:tc>
        <w:tc>
          <w:tcPr>
            <w:tcW w:w="1740" w:type="dxa"/>
            <w:shd w:val="clear" w:color="auto" w:fill="F4F7FA"/>
            <w:vAlign w:val="center"/>
          </w:tcPr>
          <w:p w14:paraId="545BE133" w14:textId="77777777" w:rsidR="00F945BC" w:rsidRDefault="00000000">
            <w:pPr>
              <w:spacing w:after="0"/>
              <w:jc w:val="right"/>
            </w:pPr>
            <w:r>
              <w:t>0.8864</w:t>
            </w:r>
          </w:p>
        </w:tc>
        <w:tc>
          <w:tcPr>
            <w:tcW w:w="3500" w:type="dxa"/>
            <w:shd w:val="clear" w:color="auto" w:fill="F4F7FA"/>
            <w:vAlign w:val="center"/>
          </w:tcPr>
          <w:p w14:paraId="63DB3A77" w14:textId="77777777" w:rsidR="00F945BC" w:rsidRDefault="00000000">
            <w:pPr>
              <w:spacing w:after="0"/>
              <w:jc w:val="right"/>
            </w:pPr>
            <w:r>
              <w:t>+0.0774  (0.0503, 0.1015)</w:t>
            </w:r>
          </w:p>
        </w:tc>
      </w:tr>
      <w:tr w:rsidR="00F945BC" w14:paraId="0AA182DA" w14:textId="77777777">
        <w:trPr>
          <w:jc w:val="center"/>
        </w:trPr>
        <w:tc>
          <w:tcPr>
            <w:tcW w:w="2580" w:type="dxa"/>
            <w:vAlign w:val="center"/>
          </w:tcPr>
          <w:p w14:paraId="0D9F98FE" w14:textId="77777777" w:rsidR="00F945BC" w:rsidRDefault="00000000">
            <w:pPr>
              <w:spacing w:after="0"/>
            </w:pPr>
            <w:r>
              <w:t>F1 at locked threshold</w:t>
            </w:r>
          </w:p>
        </w:tc>
        <w:tc>
          <w:tcPr>
            <w:tcW w:w="1540" w:type="dxa"/>
            <w:vAlign w:val="center"/>
          </w:tcPr>
          <w:p w14:paraId="3EBD1214" w14:textId="77777777" w:rsidR="00F945BC" w:rsidRDefault="00000000">
            <w:pPr>
              <w:spacing w:after="0"/>
              <w:jc w:val="right"/>
            </w:pPr>
            <w:r>
              <w:t>0.7628</w:t>
            </w:r>
          </w:p>
        </w:tc>
        <w:tc>
          <w:tcPr>
            <w:tcW w:w="1740" w:type="dxa"/>
            <w:vAlign w:val="center"/>
          </w:tcPr>
          <w:p w14:paraId="766B5FE1" w14:textId="77777777" w:rsidR="00F945BC" w:rsidRDefault="00000000">
            <w:pPr>
              <w:spacing w:after="0"/>
              <w:jc w:val="right"/>
            </w:pPr>
            <w:r>
              <w:t>0.7978</w:t>
            </w:r>
          </w:p>
        </w:tc>
        <w:tc>
          <w:tcPr>
            <w:tcW w:w="3500" w:type="dxa"/>
            <w:vAlign w:val="center"/>
          </w:tcPr>
          <w:p w14:paraId="104A3A0B" w14:textId="77777777" w:rsidR="00F945BC" w:rsidRDefault="00000000">
            <w:pPr>
              <w:spacing w:after="0"/>
              <w:jc w:val="right"/>
            </w:pPr>
            <w:r>
              <w:t>+0.0350  (0.0175, 0.0538)</w:t>
            </w:r>
          </w:p>
        </w:tc>
      </w:tr>
      <w:tr w:rsidR="00F945BC" w14:paraId="2FDF44BA" w14:textId="77777777">
        <w:trPr>
          <w:jc w:val="center"/>
        </w:trPr>
        <w:tc>
          <w:tcPr>
            <w:tcW w:w="2580" w:type="dxa"/>
            <w:shd w:val="clear" w:color="auto" w:fill="F4F7FA"/>
            <w:vAlign w:val="center"/>
          </w:tcPr>
          <w:p w14:paraId="7125AA47" w14:textId="77777777" w:rsidR="00F945BC" w:rsidRDefault="00000000">
            <w:pPr>
              <w:spacing w:after="0"/>
            </w:pPr>
            <w:r>
              <w:t>FMR at locked 90% recall</w:t>
            </w:r>
          </w:p>
        </w:tc>
        <w:tc>
          <w:tcPr>
            <w:tcW w:w="1540" w:type="dxa"/>
            <w:shd w:val="clear" w:color="auto" w:fill="F4F7FA"/>
            <w:vAlign w:val="center"/>
          </w:tcPr>
          <w:p w14:paraId="4D0251C4" w14:textId="77777777" w:rsidR="00F945BC" w:rsidRDefault="00000000">
            <w:pPr>
              <w:spacing w:after="0"/>
              <w:jc w:val="right"/>
            </w:pPr>
            <w:r>
              <w:t>0.3740</w:t>
            </w:r>
          </w:p>
        </w:tc>
        <w:tc>
          <w:tcPr>
            <w:tcW w:w="1740" w:type="dxa"/>
            <w:shd w:val="clear" w:color="auto" w:fill="F4F7FA"/>
            <w:vAlign w:val="center"/>
          </w:tcPr>
          <w:p w14:paraId="6D079C4D" w14:textId="77777777" w:rsidR="00F945BC" w:rsidRDefault="00000000">
            <w:pPr>
              <w:spacing w:after="0"/>
              <w:jc w:val="right"/>
            </w:pPr>
            <w:r>
              <w:t>0.2950</w:t>
            </w:r>
          </w:p>
        </w:tc>
        <w:tc>
          <w:tcPr>
            <w:tcW w:w="3500" w:type="dxa"/>
            <w:shd w:val="clear" w:color="auto" w:fill="F4F7FA"/>
            <w:vAlign w:val="center"/>
          </w:tcPr>
          <w:p w14:paraId="5804167B" w14:textId="77777777" w:rsidR="00F945BC" w:rsidRDefault="00000000">
            <w:pPr>
              <w:spacing w:after="0"/>
              <w:jc w:val="right"/>
            </w:pPr>
            <w:r>
              <w:t>−0.0790  (−0.1220, −0.0349)</w:t>
            </w:r>
          </w:p>
        </w:tc>
      </w:tr>
      <w:tr w:rsidR="00F945BC" w14:paraId="5258614E" w14:textId="77777777">
        <w:trPr>
          <w:jc w:val="center"/>
        </w:trPr>
        <w:tc>
          <w:tcPr>
            <w:tcW w:w="2580" w:type="dxa"/>
            <w:vAlign w:val="center"/>
          </w:tcPr>
          <w:p w14:paraId="235C5775" w14:textId="77777777" w:rsidR="00F945BC" w:rsidRDefault="00000000">
            <w:pPr>
              <w:spacing w:after="0"/>
            </w:pPr>
            <w:r>
              <w:t>Achieved recall</w:t>
            </w:r>
          </w:p>
        </w:tc>
        <w:tc>
          <w:tcPr>
            <w:tcW w:w="1540" w:type="dxa"/>
            <w:vAlign w:val="center"/>
          </w:tcPr>
          <w:p w14:paraId="2893ECB6" w14:textId="77777777" w:rsidR="00F945BC" w:rsidRDefault="00000000">
            <w:pPr>
              <w:spacing w:after="0"/>
              <w:jc w:val="right"/>
            </w:pPr>
            <w:r>
              <w:t>0.8450</w:t>
            </w:r>
          </w:p>
        </w:tc>
        <w:tc>
          <w:tcPr>
            <w:tcW w:w="1740" w:type="dxa"/>
            <w:vAlign w:val="center"/>
          </w:tcPr>
          <w:p w14:paraId="4DECC75A" w14:textId="77777777" w:rsidR="00F945BC" w:rsidRDefault="00000000">
            <w:pPr>
              <w:spacing w:after="0"/>
              <w:jc w:val="right"/>
            </w:pPr>
            <w:r>
              <w:t>0.8690</w:t>
            </w:r>
          </w:p>
        </w:tc>
        <w:tc>
          <w:tcPr>
            <w:tcW w:w="3500" w:type="dxa"/>
            <w:vAlign w:val="center"/>
          </w:tcPr>
          <w:p w14:paraId="0FA89B3E" w14:textId="77777777" w:rsidR="00F945BC" w:rsidRDefault="00000000">
            <w:pPr>
              <w:spacing w:after="0"/>
              <w:jc w:val="right"/>
            </w:pPr>
            <w:r>
              <w:t>+0.0240  (−0.0100, 0.0560)</w:t>
            </w:r>
          </w:p>
        </w:tc>
      </w:tr>
    </w:tbl>
    <w:p w14:paraId="2399C7A0" w14:textId="77777777" w:rsidR="00F945BC" w:rsidRDefault="00000000">
      <w:pPr>
        <w:spacing w:before="100"/>
      </w:pPr>
      <w:r>
        <w:rPr>
          <w:b/>
        </w:rPr>
        <w:t xml:space="preserve">Inference note: </w:t>
      </w:r>
      <w:r>
        <w:t>two-sided 95% percentile intervals use 10,000 paired resamples of the 10 locked test-video clusters. Thresholds were chosen on dev and applied unchanged to test.</w:t>
      </w:r>
    </w:p>
    <w:p w14:paraId="5D8C1A3E" w14:textId="77777777" w:rsidR="00F945BC" w:rsidRDefault="00000000">
      <w:pPr>
        <w:pStyle w:val="Heading2"/>
      </w:pPr>
      <w:r>
        <w:t>Where the gain was strongest</w:t>
      </w:r>
    </w:p>
    <w:p w14:paraId="62D7A38C" w14:textId="77777777" w:rsidR="00F945BC" w:rsidRDefault="00000000">
      <w:r>
        <w:t>The largest AUROC improvement was against matched-attribute hard negatives (+0.0965). Gains also appeared in every locked temporal-gap, visibility, and motion stratum. That pattern is consistent with the intended role of depth-derived camera-space geometry: resolving ambiguity that remains after appearance and ordinary 2D controls.</w:t>
      </w:r>
    </w:p>
    <w:p w14:paraId="05AA28B3" w14:textId="77777777" w:rsidR="00F945BC" w:rsidRDefault="00000000">
      <w:pPr>
        <w:pStyle w:val="Heading2"/>
      </w:pPr>
      <w:r>
        <w:t>What the failure review adds</w:t>
      </w:r>
    </w:p>
    <w:p w14:paraId="6BE811A6" w14:textId="77777777" w:rsidR="00F945BC" w:rsidRDefault="00000000">
      <w:r>
        <w:t>The fixed-threshold gallery contains 24 test errors: 12 false positives and 12 false negatives, with six examples from each of the four configurations. It is a diagnostic sample, not a prevalence estimate. Recurring mechanisms were:</w:t>
      </w:r>
    </w:p>
    <w:p w14:paraId="40F9F71B" w14:textId="77777777" w:rsidR="00F945BC" w:rsidRDefault="00000000">
      <w:pPr>
        <w:pStyle w:val="ListBullet"/>
      </w:pPr>
      <w:r>
        <w:t>matched-attribute distractors that remain visually and geometrically plausible;</w:t>
      </w:r>
    </w:p>
    <w:p w14:paraId="50898C91" w14:textId="77777777" w:rsidR="00F945BC" w:rsidRDefault="00000000">
      <w:pPr>
        <w:pStyle w:val="ListBullet"/>
      </w:pPr>
      <w:r>
        <w:t>long temporal gaps with motion or viewpoint change;</w:t>
      </w:r>
    </w:p>
    <w:p w14:paraId="47E274A3" w14:textId="77777777" w:rsidR="00F945BC" w:rsidRDefault="00000000">
      <w:pPr>
        <w:pStyle w:val="ListBullet"/>
      </w:pPr>
      <w:r>
        <w:t>occlusion- or image-edge-truncated masks that remove identity cues; and</w:t>
      </w:r>
    </w:p>
    <w:p w14:paraId="55A16283" w14:textId="77777777" w:rsidR="00F945BC" w:rsidRDefault="00000000">
      <w:pPr>
        <w:pStyle w:val="ListBullet"/>
      </w:pPr>
      <w:r>
        <w:t>biased depth estimates that shift recovered geometry or make distractors appear compatible.</w:t>
      </w:r>
    </w:p>
    <w:p w14:paraId="2B4D1881" w14:textId="77777777" w:rsidR="00F945BC" w:rsidRDefault="00000000">
      <w:r>
        <w:br w:type="page"/>
      </w:r>
    </w:p>
    <w:p w14:paraId="47B1C955" w14:textId="77777777" w:rsidR="00F945BC" w:rsidRDefault="00000000">
      <w:pPr>
        <w:pStyle w:val="Heading1"/>
      </w:pPr>
      <w:r>
        <w:lastRenderedPageBreak/>
        <w:t>Limitations that bound the claim</w:t>
      </w:r>
    </w:p>
    <w:p w14:paraId="0A858BC3" w14:textId="77777777" w:rsidR="00F945BC" w:rsidRDefault="00000000">
      <w:pPr>
        <w:pStyle w:val="Heading2"/>
      </w:pPr>
      <w:r>
        <w:t>Oracle-geometry limitation</w:t>
      </w:r>
    </w:p>
    <w:p w14:paraId="404F6F10" w14:textId="77777777" w:rsidR="00F945BC" w:rsidRDefault="00000000">
      <w:r>
        <w:rPr>
          <w:b/>
        </w:rPr>
        <w:t xml:space="preserve">This is an oracle-like geometry study. </w:t>
      </w:r>
      <w:r>
        <w:t>Simulator-provided instance masks, depth, and camera calibration construct the crops and camera-space features. The result estimates the value of clean geometry after correspondence proposals and visible pixels are available. It does not establish that predicted monocular depth, predicted masks, or estimated calibration will preserve the gain.</w:t>
      </w:r>
    </w:p>
    <w:p w14:paraId="42648DA2" w14:textId="77777777" w:rsidR="00F945BC" w:rsidRDefault="00000000">
      <w:pPr>
        <w:pStyle w:val="Heading2"/>
      </w:pPr>
      <w:r>
        <w:t>Fixed-camera limitation</w:t>
      </w:r>
    </w:p>
    <w:p w14:paraId="269A4B02" w14:textId="77777777" w:rsidR="00F945BC" w:rsidRDefault="00000000">
      <w:r>
        <w:rPr>
          <w:b/>
        </w:rPr>
        <w:t xml:space="preserve">Moving-camera generalization is untested. </w:t>
      </w:r>
      <w:r>
        <w:t>The camera is fixed within each MOVi-A video. The evaluation therefore omits camera-pose estimation, ego-motion compensation, moving-camera parallax, calibration drift, and dynamic real-world backgrounds. Results should not be generalized to moving-camera or multi-camera tracking without a separate evaluation.</w:t>
      </w:r>
    </w:p>
    <w:p w14:paraId="083C4653" w14:textId="77777777" w:rsidR="00F945BC" w:rsidRDefault="00000000">
      <w:pPr>
        <w:pStyle w:val="Heading2"/>
      </w:pPr>
      <w:r>
        <w:t>Other scope constraints</w:t>
      </w:r>
    </w:p>
    <w:p w14:paraId="0B629348" w14:textId="77777777" w:rsidR="00F945BC" w:rsidRDefault="00000000">
      <w:pPr>
        <w:pStyle w:val="ListBullet"/>
      </w:pPr>
      <w:r>
        <w:t>50 selected MOVi-A validation videos and only 10 test-video clusters;</w:t>
      </w:r>
    </w:p>
    <w:p w14:paraId="5FB8DC50" w14:textId="77777777" w:rsidR="00F945BC" w:rsidRDefault="00000000">
      <w:pPr>
        <w:pStyle w:val="ListBullet"/>
      </w:pPr>
      <w:r>
        <w:t>within-video pairs only—no cross-video pairs in the 10,000-pair benchmark;</w:t>
      </w:r>
    </w:p>
    <w:p w14:paraId="51E8DAE1" w14:textId="77777777" w:rsidR="00F945BC" w:rsidRDefault="00000000">
      <w:pPr>
        <w:pStyle w:val="ListBullet"/>
      </w:pPr>
      <w:r>
        <w:t>synthetic, low-diversity objects and scenes;</w:t>
      </w:r>
    </w:p>
    <w:p w14:paraId="6D21C034" w14:textId="77777777" w:rsidR="00F945BC" w:rsidRDefault="00000000">
      <w:pPr>
        <w:pStyle w:val="ListBullet"/>
      </w:pPr>
      <w:r>
        <w:t>a frozen ResNet-18 encoder with logistic models; and</w:t>
      </w:r>
    </w:p>
    <w:p w14:paraId="42D77C42" w14:textId="77777777" w:rsidR="00F945BC" w:rsidRDefault="00000000">
      <w:pPr>
        <w:pStyle w:val="ListBullet"/>
      </w:pPr>
      <w:r>
        <w:t>benchmark-specific thresholds and strata, locked after dev selection.</w:t>
      </w:r>
    </w:p>
    <w:p w14:paraId="5FC6C312" w14:textId="77777777" w:rsidR="00F945BC" w:rsidRDefault="00000000">
      <w:r>
        <w:t>The video-cluster bootstrap respects dependence among pairs from the same test video, but it cannot create domain diversity that is absent from the benchmark.</w:t>
      </w:r>
    </w:p>
    <w:p w14:paraId="6736743C" w14:textId="77777777" w:rsidR="00F945BC" w:rsidRDefault="00000000">
      <w:pPr>
        <w:pStyle w:val="Heading1"/>
      </w:pPr>
      <w:r>
        <w:t>Recommended next steps</w:t>
      </w:r>
    </w:p>
    <w:p w14:paraId="2F1614D0" w14:textId="77777777" w:rsidR="00F945BC" w:rsidRDefault="00000000">
      <w:pPr>
        <w:pStyle w:val="ListNumber"/>
      </w:pPr>
      <w:r>
        <w:rPr>
          <w:b/>
        </w:rPr>
        <w:t xml:space="preserve">Close the oracle gap. </w:t>
      </w:r>
      <w:r>
        <w:t>Replace simulator masks and depth with predicted instance masks and monocular or stereo depth. Carry uncertainty into the geometry features and report performance relative to the oracle ceiling.</w:t>
      </w:r>
    </w:p>
    <w:p w14:paraId="7D29426E" w14:textId="77777777" w:rsidR="00F945BC" w:rsidRDefault="00000000">
      <w:pPr>
        <w:pStyle w:val="ListNumber"/>
      </w:pPr>
      <w:r>
        <w:rPr>
          <w:b/>
        </w:rPr>
        <w:t xml:space="preserve">Introduce camera motion. </w:t>
      </w:r>
      <w:r>
        <w:t>Evaluate moving-camera MOVi variants and real video. Estimate camera pose, compensate ego-motion, and quantify sensitivity to pose and calibration error.</w:t>
      </w:r>
    </w:p>
    <w:p w14:paraId="32E6721E" w14:textId="77777777" w:rsidR="00F945BC" w:rsidRDefault="00000000">
      <w:pPr>
        <w:pStyle w:val="ListNumber"/>
      </w:pPr>
      <w:r>
        <w:rPr>
          <w:b/>
        </w:rPr>
        <w:t xml:space="preserve">Broaden pair scope. </w:t>
      </w:r>
      <w:r>
        <w:t>Add cross-video negatives and, where identity labels permit, cross-video positives while retaining video-disjoint splits and cluster-level inference.</w:t>
      </w:r>
    </w:p>
    <w:p w14:paraId="4DB4C1FD" w14:textId="77777777" w:rsidR="00F945BC" w:rsidRDefault="00000000">
      <w:pPr>
        <w:pStyle w:val="ListNumber"/>
      </w:pPr>
      <w:r>
        <w:rPr>
          <w:b/>
        </w:rPr>
        <w:t xml:space="preserve">Increase evaluation diversity. </w:t>
      </w:r>
      <w:r>
        <w:t>Expand the number and diversity of test videos before comparing larger backbones, learned fusion, or end-to-end metric learning.</w:t>
      </w:r>
    </w:p>
    <w:p w14:paraId="2A82DFA0" w14:textId="77777777" w:rsidR="00F945BC" w:rsidRDefault="00000000">
      <w:pPr>
        <w:pStyle w:val="ListNumber"/>
      </w:pPr>
      <w:r>
        <w:rPr>
          <w:b/>
        </w:rPr>
        <w:t xml:space="preserve">Pre-register the extension. </w:t>
      </w:r>
      <w:r>
        <w:t>Lock thresholds, pair strata, exclusion rules, and the paired video-cluster analysis before opening the expanded test set.</w:t>
      </w:r>
    </w:p>
    <w:p w14:paraId="79C9D95C" w14:textId="77777777" w:rsidR="00F945BC" w:rsidRDefault="00000000">
      <w:pPr>
        <w:pStyle w:val="Heading1"/>
      </w:pPr>
      <w:r>
        <w:t>Bottom line</w:t>
      </w:r>
    </w:p>
    <w:p w14:paraId="4FA48F43" w14:textId="77777777" w:rsidR="00F945BC" w:rsidRDefault="00000000">
      <w:pPr>
        <w:spacing w:after="0"/>
      </w:pPr>
      <w:r>
        <w:rPr>
          <w:b/>
          <w:color w:val="16324F"/>
        </w:rPr>
        <w:t>Clean 3D geometry improves same-instance disambiguation in the controlled MOVi-A benchmark. The next decisive test is whether that advantage survives predicted geometry and camera motion. Until then, the finding is best interpreted as an oracle-geometry upper bound under a fixed-camera synthetic setting.</w:t>
      </w:r>
    </w:p>
    <w:sectPr w:rsidR="00F945BC" w:rsidSect="00034616">
      <w:headerReference w:type="default" r:id="rId8"/>
      <w:footerReference w:type="default" r:id="rId9"/>
      <w:pgSz w:w="12240" w:h="15840"/>
      <w:pgMar w:top="1080" w:right="1296" w:bottom="1037"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473B9A" w14:textId="77777777" w:rsidR="005B5E6D" w:rsidRDefault="005B5E6D">
      <w:pPr>
        <w:spacing w:after="0"/>
      </w:pPr>
      <w:r>
        <w:separator/>
      </w:r>
    </w:p>
  </w:endnote>
  <w:endnote w:type="continuationSeparator" w:id="0">
    <w:p w14:paraId="63EBAA57" w14:textId="77777777" w:rsidR="005B5E6D" w:rsidRDefault="005B5E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79FE6" w14:textId="2897D02E" w:rsidR="00F945BC"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D45893" w14:textId="77777777" w:rsidR="005B5E6D" w:rsidRDefault="005B5E6D">
      <w:pPr>
        <w:spacing w:after="0"/>
      </w:pPr>
      <w:r>
        <w:separator/>
      </w:r>
    </w:p>
  </w:footnote>
  <w:footnote w:type="continuationSeparator" w:id="0">
    <w:p w14:paraId="092CA478" w14:textId="77777777" w:rsidR="005B5E6D" w:rsidRDefault="005B5E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F6CD0" w14:textId="77777777" w:rsidR="00F945BC" w:rsidRDefault="00000000">
    <w:pPr>
      <w:jc w:val="right"/>
    </w:pPr>
    <w:r>
      <w:rPr>
        <w:b/>
        <w:color w:val="52606D"/>
        <w:sz w:val="16"/>
      </w:rPr>
      <w:t>MOVi-A SAME-INSTANCE MATCHING  /  RESEARCH MEMO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218711">
    <w:abstractNumId w:val="8"/>
  </w:num>
  <w:num w:numId="2" w16cid:durableId="251739210">
    <w:abstractNumId w:val="6"/>
  </w:num>
  <w:num w:numId="3" w16cid:durableId="2034769241">
    <w:abstractNumId w:val="5"/>
  </w:num>
  <w:num w:numId="4" w16cid:durableId="2099595906">
    <w:abstractNumId w:val="4"/>
  </w:num>
  <w:num w:numId="5" w16cid:durableId="554583516">
    <w:abstractNumId w:val="7"/>
  </w:num>
  <w:num w:numId="6" w16cid:durableId="824394645">
    <w:abstractNumId w:val="3"/>
  </w:num>
  <w:num w:numId="7" w16cid:durableId="96214952">
    <w:abstractNumId w:val="2"/>
  </w:num>
  <w:num w:numId="8" w16cid:durableId="1699817803">
    <w:abstractNumId w:val="1"/>
  </w:num>
  <w:num w:numId="9" w16cid:durableId="19311620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AFA"/>
    <w:rsid w:val="0013023A"/>
    <w:rsid w:val="0015074B"/>
    <w:rsid w:val="0029639D"/>
    <w:rsid w:val="00326F90"/>
    <w:rsid w:val="005B5E6D"/>
    <w:rsid w:val="00AA1D8D"/>
    <w:rsid w:val="00B47730"/>
    <w:rsid w:val="00CB0664"/>
    <w:rsid w:val="00F9032E"/>
    <w:rsid w:val="00F94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07CAC"/>
  <w14:defaultImageDpi w14:val="300"/>
  <w15:docId w15:val="{7F949215-2417-CD48-9339-AEEA38E7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color w:val="1F2933"/>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F66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MOVi-A Same-Instance Matching: Conclusions and Next Steps</vt:lpstr>
    </vt:vector>
  </TitlesOfParts>
  <Manager/>
  <Company/>
  <LinksUpToDate>false</LinksUpToDate>
  <CharactersWithSpaces>4660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MOVi-A Same-Instance Matching: Conclusions and Next Steps</dc:title>
  <dc:subject>Final research deliverable</dc:subject>
  <dc:creator>Research project team</dc:creator>
  <cp:keywords>MOVi-A, geometry, same-instance matching, oracle geometry, fixed camera</cp:keywords>
  <dc:description>generated by python-docx</dc:description>
  <cp:lastModifiedBy>Cecilia Cheng</cp:lastModifiedBy>
  <cp:revision>3</cp:revision>
  <dcterms:created xsi:type="dcterms:W3CDTF">2013-12-23T23:15:00Z</dcterms:created>
  <dcterms:modified xsi:type="dcterms:W3CDTF">2026-08-20T08:25:00Z</dcterms:modified>
  <cp:category/>
</cp:coreProperties>
</file>