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sz w:val="24"/>
          <w:szCs w:val="24"/>
        </w:rPr>
        <w:t xml:space="preserve">BIRLA INSTITUTE OF TECHNOLOGY &amp; SCIENCE, PILANI</w:t>
      </w:r>
    </w:p>
    <w:p>
      <w:pPr>
        <w:spacing w:after="400"/>
        <w:jc w:val="center"/>
      </w:pPr>
      <w:r>
        <w:rPr>
          <w:color w:val="666666"/>
          <w:sz w:val="20"/>
          <w:szCs w:val="20"/>
        </w:rPr>
        <w:t xml:space="preserve">Work Integrated Learning Programmes Division</w:t>
      </w:r>
    </w:p>
    <w:p>
      <w:pPr>
        <w:spacing w:before="600"/>
        <w:jc w:val="center"/>
      </w:pPr>
      <w:r>
        <w:rPr>
          <w:b/>
          <w:bCs/>
          <w:sz w:val="28"/>
          <w:szCs w:val="28"/>
        </w:rPr>
        <w:t xml:space="preserve">AIMLZG546 — Software Engineering for Machine Learning</w:t>
      </w:r>
    </w:p>
    <w:p>
      <w:pPr>
        <w:spacing w:after="600" w:before="120"/>
        <w:jc w:val="center"/>
      </w:pPr>
      <w:r>
        <w:rPr>
          <w:b/>
          <w:bCs/>
          <w:color w:val="9A3324"/>
          <w:sz w:val="36"/>
          <w:szCs w:val="36"/>
        </w:rPr>
        <w:t xml:space="preserve">Assignment I</w:t>
      </w:r>
    </w:p>
    <w:p>
      <w:pPr>
        <w:spacing w:before="200"/>
        <w:jc w:val="center"/>
      </w:pPr>
      <w:r>
        <w:rPr>
          <w:b/>
          <w:bCs/>
          <w:sz w:val="30"/>
          <w:szCs w:val="30"/>
        </w:rPr>
        <w:t xml:space="preserve">Real-Time Digital Payment Fraud Risk Triage System</w:t>
      </w:r>
    </w:p>
    <w:p>
      <w:pPr>
        <w:spacing w:after="600" w:before="80"/>
        <w:jc w:val="center"/>
      </w:pPr>
      <w:r>
        <w:rPr>
          <w:color w:val="666666"/>
          <w:sz w:val="22"/>
          <w:szCs w:val="22"/>
        </w:rPr>
        <w:t xml:space="preserve">Domain: Financial Technology (FinTech)</w:t>
      </w:r>
    </w:p>
    <w:p>
      <w:pPr>
        <w:spacing w:after="400" w:before="600"/>
        <w:jc w:val="center"/>
      </w:pPr>
      <w:r>
        <w:rPr>
          <w:b/>
          <w:bCs/>
          <w:sz w:val="26"/>
          <w:szCs w:val="26"/>
        </w:rPr>
        <w:t xml:space="preserve">Group No.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217"/>
        <w:gridCol w:w="1826"/>
        <w:gridCol w:w="5174"/>
        <w:gridCol w:w="913"/>
      </w:tblGrid>
      <w:tr>
        <w:trPr>
          <w:tblHeader/>
        </w:trPr>
        <w:tc>
          <w:tcPr>
            <w:tcW w:type="dxa" w:w="507"/>
            <w:shd w:fill="2F5496" w:val="clear"/>
            <w:tcMar>
              <w:top w:type="dxa" w:w="80"/>
              <w:left w:type="dxa" w:w="100"/>
              <w:bottom w:type="dxa" w:w="80"/>
              <w:right w:type="dxa" w:w="100"/>
            </w:tcMar>
          </w:tcPr>
          <w:p>
            <w:pPr>
              <w:jc w:val="left"/>
            </w:pPr>
            <w:r>
              <w:rPr>
                <w:b/>
                <w:bCs/>
                <w:i w:val="false"/>
                <w:iCs w:val="false"/>
                <w:color w:val="FFFFFF"/>
                <w:sz w:val="20"/>
                <w:szCs w:val="20"/>
              </w:rPr>
              <w:t xml:space="preserve">Sl. No</w:t>
            </w:r>
          </w:p>
        </w:tc>
        <w:tc>
          <w:tcPr>
            <w:tcW w:type="dxa" w:w="1217"/>
            <w:shd w:fill="2F5496" w:val="clear"/>
            <w:tcMar>
              <w:top w:type="dxa" w:w="80"/>
              <w:left w:type="dxa" w:w="100"/>
              <w:bottom w:type="dxa" w:w="80"/>
              <w:right w:type="dxa" w:w="100"/>
            </w:tcMar>
          </w:tcPr>
          <w:p>
            <w:pPr>
              <w:jc w:val="left"/>
            </w:pPr>
            <w:r>
              <w:rPr>
                <w:b/>
                <w:bCs/>
                <w:i w:val="false"/>
                <w:iCs w:val="false"/>
                <w:color w:val="FFFFFF"/>
                <w:sz w:val="20"/>
                <w:szCs w:val="20"/>
              </w:rPr>
              <w:t xml:space="preserve">BITS ID</w:t>
            </w:r>
          </w:p>
        </w:tc>
        <w:tc>
          <w:tcPr>
            <w:tcW w:type="dxa" w:w="1826"/>
            <w:shd w:fill="2F5496" w:val="clear"/>
            <w:tcMar>
              <w:top w:type="dxa" w:w="80"/>
              <w:left w:type="dxa" w:w="100"/>
              <w:bottom w:type="dxa" w:w="80"/>
              <w:right w:type="dxa" w:w="100"/>
            </w:tcMar>
          </w:tcPr>
          <w:p>
            <w:pPr>
              <w:jc w:val="left"/>
            </w:pPr>
            <w:r>
              <w:rPr>
                <w:b/>
                <w:bCs/>
                <w:i w:val="false"/>
                <w:iCs w:val="false"/>
                <w:color w:val="FFFFFF"/>
                <w:sz w:val="20"/>
                <w:szCs w:val="20"/>
              </w:rPr>
              <w:t xml:space="preserve">Name</w:t>
            </w:r>
          </w:p>
        </w:tc>
        <w:tc>
          <w:tcPr>
            <w:tcW w:type="dxa" w:w="5174"/>
            <w:shd w:fill="2F5496" w:val="clear"/>
            <w:tcMar>
              <w:top w:type="dxa" w:w="80"/>
              <w:left w:type="dxa" w:w="100"/>
              <w:bottom w:type="dxa" w:w="80"/>
              <w:right w:type="dxa" w:w="100"/>
            </w:tcMar>
          </w:tcPr>
          <w:p>
            <w:pPr>
              <w:jc w:val="left"/>
            </w:pPr>
            <w:r>
              <w:rPr>
                <w:b/>
                <w:bCs/>
                <w:i w:val="false"/>
                <w:iCs w:val="false"/>
                <w:color w:val="FFFFFF"/>
                <w:sz w:val="20"/>
                <w:szCs w:val="20"/>
              </w:rPr>
              <w:t xml:space="preserve">Contribution (Qualitative)</w:t>
            </w:r>
          </w:p>
        </w:tc>
        <w:tc>
          <w:tcPr>
            <w:tcW w:type="dxa" w:w="913"/>
            <w:shd w:fill="2F5496" w:val="clear"/>
            <w:tcMar>
              <w:top w:type="dxa" w:w="80"/>
              <w:left w:type="dxa" w:w="100"/>
              <w:bottom w:type="dxa" w:w="80"/>
              <w:right w:type="dxa" w:w="100"/>
            </w:tcMar>
          </w:tcPr>
          <w:p>
            <w:pPr>
              <w:jc w:val="left"/>
            </w:pPr>
            <w:r>
              <w:rPr>
                <w:b/>
                <w:bCs/>
                <w:i w:val="false"/>
                <w:iCs w:val="false"/>
                <w:color w:val="FFFFFF"/>
                <w:sz w:val="20"/>
                <w:szCs w:val="20"/>
              </w:rPr>
              <w:t xml:space="preserve">% Contribution</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1</w:t>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2025ae05576</w:t>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Anirudh Anand</w:t>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Report lead. Domain and problem statement, ML formulation, requirements and measurable goals (Sections 1 and 2), Business View, final report and PDF.</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shd w:fill="F2F2F2" w:val="clear"/>
            <w:tcMar>
              <w:top w:type="dxa" w:w="80"/>
              <w:left w:type="dxa" w:w="100"/>
              <w:bottom w:type="dxa" w:w="80"/>
              <w:right w:type="dxa" w:w="100"/>
            </w:tcMar>
          </w:tcPr>
          <w:p>
            <w:pPr>
              <w:jc w:val="left"/>
            </w:pPr>
            <w:r>
              <w:rPr>
                <w:b w:val="false"/>
                <w:bCs w:val="false"/>
                <w:i w:val="false"/>
                <w:iCs w:val="false"/>
                <w:sz w:val="20"/>
                <w:szCs w:val="20"/>
              </w:rPr>
              <w:t xml:space="preserve">2</w:t>
            </w:r>
          </w:p>
        </w:tc>
        <w:tc>
          <w:tcPr>
            <w:tcW w:type="dxa" w:w="1217"/>
            <w:shd w:fill="F2F2F2" w:val="clear"/>
            <w:tcMar>
              <w:top w:type="dxa" w:w="80"/>
              <w:left w:type="dxa" w:w="100"/>
              <w:bottom w:type="dxa" w:w="80"/>
              <w:right w:type="dxa" w:w="100"/>
            </w:tcMar>
          </w:tcPr>
          <w:p>
            <w:pPr>
              <w:jc w:val="left"/>
            </w:pPr>
            <w:r>
              <w:rPr>
                <w:b w:val="false"/>
                <w:bCs w:val="false"/>
                <w:i w:val="false"/>
                <w:iCs w:val="false"/>
                <w:sz w:val="20"/>
                <w:szCs w:val="20"/>
              </w:rPr>
              <w:t xml:space="preserve">2025ae05178</w:t>
            </w:r>
          </w:p>
        </w:tc>
        <w:tc>
          <w:tcPr>
            <w:tcW w:type="dxa" w:w="1826"/>
            <w:shd w:fill="F2F2F2" w:val="clear"/>
            <w:tcMar>
              <w:top w:type="dxa" w:w="80"/>
              <w:left w:type="dxa" w:w="100"/>
              <w:bottom w:type="dxa" w:w="80"/>
              <w:right w:type="dxa" w:w="100"/>
            </w:tcMar>
          </w:tcPr>
          <w:p>
            <w:pPr>
              <w:jc w:val="left"/>
            </w:pPr>
            <w:r>
              <w:rPr>
                <w:b w:val="false"/>
                <w:bCs w:val="false"/>
                <w:i w:val="false"/>
                <w:iCs w:val="false"/>
                <w:sz w:val="20"/>
                <w:szCs w:val="20"/>
              </w:rPr>
              <w:t xml:space="preserve">Aniketh Paul</w:t>
            </w:r>
          </w:p>
        </w:tc>
        <w:tc>
          <w:tcPr>
            <w:tcW w:type="dxa" w:w="5174"/>
            <w:shd w:fill="F2F2F2" w:val="clear"/>
            <w:tcMar>
              <w:top w:type="dxa" w:w="80"/>
              <w:left w:type="dxa" w:w="100"/>
              <w:bottom w:type="dxa" w:w="80"/>
              <w:right w:type="dxa" w:w="100"/>
            </w:tcMar>
          </w:tcPr>
          <w:p>
            <w:pPr>
              <w:jc w:val="left"/>
            </w:pPr>
            <w:r>
              <w:rPr>
                <w:b w:val="false"/>
                <w:bCs w:val="false"/>
                <w:i w:val="false"/>
                <w:iCs w:val="false"/>
                <w:sz w:val="20"/>
                <w:szCs w:val="20"/>
              </w:rPr>
              <w:t xml:space="preserve">GR4ML Analytics Design and Data Preparation views, top three quality requirements (Sections 3.2, 3.3, 4). Data part of the pipeline: EDA, ingest, clean, features, split.</w:t>
            </w:r>
          </w:p>
        </w:tc>
        <w:tc>
          <w:tcPr>
            <w:tcW w:type="dxa" w:w="913"/>
            <w:shd w:fill="F2F2F2" w:val="clear"/>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3</w:t>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2025ae05898</w:t>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Pushadapu Sanjay Kumar</w:t>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Architecture diagram (ML and non-ML components), the two patterns (Sections 5 and 6). FastAPI service, input validation, prediction logging, automated tests.</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shd w:fill="F2F2F2" w:val="clear"/>
            <w:tcMar>
              <w:top w:type="dxa" w:w="80"/>
              <w:left w:type="dxa" w:w="100"/>
              <w:bottom w:type="dxa" w:w="80"/>
              <w:right w:type="dxa" w:w="100"/>
            </w:tcMar>
          </w:tcPr>
          <w:p>
            <w:pPr>
              <w:jc w:val="left"/>
            </w:pPr>
            <w:r>
              <w:rPr>
                <w:b w:val="false"/>
                <w:bCs w:val="false"/>
                <w:i w:val="false"/>
                <w:iCs w:val="false"/>
                <w:sz w:val="20"/>
                <w:szCs w:val="20"/>
              </w:rPr>
              <w:t xml:space="preserve">4</w:t>
            </w:r>
          </w:p>
        </w:tc>
        <w:tc>
          <w:tcPr>
            <w:tcW w:type="dxa" w:w="1217"/>
            <w:shd w:fill="F2F2F2" w:val="clear"/>
            <w:tcMar>
              <w:top w:type="dxa" w:w="80"/>
              <w:left w:type="dxa" w:w="100"/>
              <w:bottom w:type="dxa" w:w="80"/>
              <w:right w:type="dxa" w:w="100"/>
            </w:tcMar>
          </w:tcPr>
          <w:p>
            <w:pPr>
              <w:jc w:val="left"/>
            </w:pPr>
            <w:r>
              <w:rPr>
                <w:b w:val="false"/>
                <w:bCs w:val="false"/>
                <w:i w:val="false"/>
                <w:iCs w:val="false"/>
                <w:sz w:val="20"/>
                <w:szCs w:val="20"/>
              </w:rPr>
              <w:t xml:space="preserve">2025af05111</w:t>
            </w:r>
          </w:p>
        </w:tc>
        <w:tc>
          <w:tcPr>
            <w:tcW w:type="dxa" w:w="1826"/>
            <w:shd w:fill="F2F2F2" w:val="clear"/>
            <w:tcMar>
              <w:top w:type="dxa" w:w="80"/>
              <w:left w:type="dxa" w:w="100"/>
              <w:bottom w:type="dxa" w:w="80"/>
              <w:right w:type="dxa" w:w="100"/>
            </w:tcMar>
          </w:tcPr>
          <w:p>
            <w:pPr>
              <w:jc w:val="left"/>
            </w:pPr>
            <w:r>
              <w:rPr>
                <w:b w:val="false"/>
                <w:bCs w:val="false"/>
                <w:i w:val="false"/>
                <w:iCs w:val="false"/>
                <w:sz w:val="20"/>
                <w:szCs w:val="20"/>
              </w:rPr>
              <w:t xml:space="preserve">Biswajeet Mahato</w:t>
            </w:r>
          </w:p>
        </w:tc>
        <w:tc>
          <w:tcPr>
            <w:tcW w:type="dxa" w:w="5174"/>
            <w:shd w:fill="F2F2F2" w:val="clear"/>
            <w:tcMar>
              <w:top w:type="dxa" w:w="80"/>
              <w:left w:type="dxa" w:w="100"/>
              <w:bottom w:type="dxa" w:w="80"/>
              <w:right w:type="dxa" w:w="100"/>
            </w:tcMar>
          </w:tcPr>
          <w:p>
            <w:pPr>
              <w:jc w:val="left"/>
            </w:pPr>
            <w:r>
              <w:rPr>
                <w:b w:val="false"/>
                <w:bCs w:val="false"/>
                <w:i w:val="false"/>
                <w:iCs w:val="false"/>
                <w:sz w:val="20"/>
                <w:szCs w:val="20"/>
              </w:rPr>
              <w:t xml:space="preserve">Model part of the pipeline: train and evaluate filters, threshold on validation, MLflow tracking and registry. End-to-end run, screenshots, Sections 7.2, 7.3, 8, 9.</w:t>
            </w:r>
          </w:p>
        </w:tc>
        <w:tc>
          <w:tcPr>
            <w:tcW w:type="dxa" w:w="913"/>
            <w:shd w:fill="F2F2F2" w:val="clear"/>
            <w:tcMar>
              <w:top w:type="dxa" w:w="80"/>
              <w:left w:type="dxa" w:w="100"/>
              <w:bottom w:type="dxa" w:w="80"/>
              <w:right w:type="dxa" w:w="100"/>
            </w:tcMar>
          </w:tcPr>
          <w:p>
            <w:pPr>
              <w:jc w:val="left"/>
            </w:pPr>
            <w:r>
              <w:rPr>
                <w:b w:val="false"/>
                <w:bCs w:val="false"/>
                <w:i w:val="false"/>
                <w:iCs w:val="false"/>
                <w:sz w:val="20"/>
                <w:szCs w:val="20"/>
              </w:rPr>
              <w:t xml:space="preserve">25</w:t>
            </w:r>
          </w:p>
        </w:tc>
      </w:tr>
      <w:tr>
        <w:tc>
          <w:tcPr>
            <w:tcW w:type="dxa" w:w="507"/>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1217"/>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1826"/>
            <w:tcMar>
              <w:top w:type="dxa" w:w="80"/>
              <w:left w:type="dxa" w:w="100"/>
              <w:bottom w:type="dxa" w:w="80"/>
              <w:right w:type="dxa" w:w="100"/>
            </w:tcMar>
          </w:tcPr>
          <w:p>
            <w:pPr>
              <w:jc w:val="left"/>
            </w:pPr>
            <w:r>
              <w:rPr>
                <w:b w:val="false"/>
                <w:bCs w:val="false"/>
                <w:i w:val="false"/>
                <w:iCs w:val="false"/>
                <w:sz w:val="20"/>
                <w:szCs w:val="20"/>
              </w:rPr>
              <w:t xml:space="preserve"/>
            </w:r>
          </w:p>
        </w:tc>
        <w:tc>
          <w:tcPr>
            <w:tcW w:type="dxa" w:w="5174"/>
            <w:tcMar>
              <w:top w:type="dxa" w:w="80"/>
              <w:left w:type="dxa" w:w="100"/>
              <w:bottom w:type="dxa" w:w="80"/>
              <w:right w:type="dxa" w:w="100"/>
            </w:tcMar>
          </w:tcPr>
          <w:p>
            <w:pPr>
              <w:jc w:val="left"/>
            </w:pPr>
            <w:r>
              <w:rPr>
                <w:b w:val="false"/>
                <w:bCs w:val="false"/>
                <w:i w:val="false"/>
                <w:iCs w:val="false"/>
                <w:sz w:val="20"/>
                <w:szCs w:val="20"/>
              </w:rPr>
              <w:t xml:space="preserve">Total</w:t>
            </w:r>
          </w:p>
        </w:tc>
        <w:tc>
          <w:tcPr>
            <w:tcW w:type="dxa" w:w="913"/>
            <w:tcMar>
              <w:top w:type="dxa" w:w="80"/>
              <w:left w:type="dxa" w:w="100"/>
              <w:bottom w:type="dxa" w:w="80"/>
              <w:right w:type="dxa" w:w="100"/>
            </w:tcMar>
          </w:tcPr>
          <w:p>
            <w:pPr>
              <w:jc w:val="left"/>
            </w:pPr>
            <w:r>
              <w:rPr>
                <w:b w:val="false"/>
                <w:bCs w:val="false"/>
                <w:i w:val="false"/>
                <w:iCs w:val="false"/>
                <w:sz w:val="20"/>
                <w:szCs w:val="20"/>
              </w:rPr>
              <w:t xml:space="preserve">100</w:t>
            </w:r>
          </w:p>
        </w:tc>
      </w:tr>
    </w:tbl>
    <w:p>
      <w:pPr>
        <w:spacing w:before="400"/>
      </w:pPr>
      <w:r>
        <w:rPr>
          <w:b/>
          <w:bCs/>
        </w:rPr>
        <w:t xml:space="preserve">Repository: </w:t>
      </w:r>
      <w:r>
        <w:t xml:space="preserve">https://github.com/biswa13de/seml-g13-fraud-triage</w:t>
      </w:r>
    </w:p>
    <w:p>
      <w:r>
        <w:rPr>
          <w:b/>
          <w:bCs/>
        </w:rPr>
        <w:t xml:space="preserve">Submission date: </w:t>
      </w:r>
      <w:r>
        <w:t xml:space="preserve">09 October 2026</w:t>
      </w:r>
    </w:p>
    <w:p>
      <w:r>
        <w:br w:type="page"/>
      </w:r>
    </w:p>
    <w:p>
      <w:pPr>
        <w:pStyle w:val="Heading1"/>
        <w:spacing w:after="160" w:before="360"/>
      </w:pPr>
      <w:r>
        <w:t xml:space="preserve">1. Domain and Problem Statement</w:t>
      </w:r>
    </w:p>
    <w:p>
      <w:pPr>
        <w:spacing w:after="160" w:line="276"/>
      </w:pPr>
      <w:r>
        <w:t xml:space="preserve">India's UPI rails process billions of payments a month, and fraud has grown with them: account takeover after SIM-swap or phishing, “collect-request” scams, mule accounts that receive and quickly move stolen funds, and rapid low-value probing. A typical Payment Service Provider (PSP) today relies on static rules (amount limits, blocklists), which miss new fraud patterns and decline too many genuine payments. Every flagged payment goes to an undifferentiated manual-review queue, so analysts spend their time on low-risk alerts while high-value fraud settles before anyone looks at it.</w:t>
      </w:r>
    </w:p>
    <w:p>
      <w:pPr>
        <w:spacing w:after="160" w:line="276"/>
      </w:pPr>
      <w:r>
        <w:t xml:space="preserve">We propose a Real-Time Fraud Risk Triage System. For each payment, before authorisation, it:</w:t>
      </w:r>
    </w:p>
    <w:p>
      <w:pPr>
        <w:pStyle w:val="ListParagraph"/>
        <w:numPr>
          <w:ilvl w:val="0"/>
          <w:numId w:val="2"/>
        </w:numPr>
        <w:spacing w:after="80"/>
      </w:pPr>
      <w:r>
        <w:t xml:space="preserve">estimates fraud probability with an ML model using transaction and behavioural features,</w:t>
      </w:r>
    </w:p>
    <w:p>
      <w:pPr>
        <w:pStyle w:val="ListParagraph"/>
        <w:numPr>
          <w:ilvl w:val="0"/>
          <w:numId w:val="2"/>
        </w:numPr>
        <w:spacing w:after="80"/>
      </w:pPr>
      <w:r>
        <w:t xml:space="preserve">maps that risk to a cost-optimal action — ALLOW, STEP_UP (extra authentication such as OTP or biometric), or BLOCK — inside a strict latency budget,</w:t>
      </w:r>
    </w:p>
    <w:p>
      <w:pPr>
        <w:pStyle w:val="ListParagraph"/>
        <w:numPr>
          <w:ilvl w:val="0"/>
          <w:numId w:val="2"/>
        </w:numPr>
        <w:spacing w:after="80"/>
      </w:pPr>
      <w:r>
        <w:t xml:space="preserve">returns human-readable reason codes for every decision, and</w:t>
      </w:r>
    </w:p>
    <w:p>
      <w:pPr>
        <w:pStyle w:val="ListParagraph"/>
        <w:numPr>
          <w:ilvl w:val="0"/>
          <w:numId w:val="2"/>
        </w:numPr>
        <w:spacing w:after="80"/>
      </w:pPr>
      <w:r>
        <w:t xml:space="preserve">opens prioritised cases for fraud analysts, whose verdicts flow back as labels for retraining.</w:t>
      </w:r>
    </w:p>
    <w:p>
      <w:pPr>
        <w:pStyle w:val="Heading2"/>
        <w:spacing w:after="120" w:before="280"/>
      </w:pPr>
      <w:r>
        <w:t xml:space="preserve">Why ML instead of rules</w:t>
      </w:r>
    </w:p>
    <w:p>
      <w:pPr>
        <w:spacing w:after="160" w:line="276"/>
      </w:pPr>
      <w:r>
        <w:t xml:space="preserve">Fraud patterns change adversarially, the signal comes from many weak interacting features, labelled history exists (chargebacks and complaints), and an occasional wrong answer is tolerable because STEP_UP and human review act as safety nets — exactly the conditions under which the course material recommends using ML as predictions rather than hand-written rules.</w:t>
      </w:r>
    </w:p>
    <w:p>
      <w:pPr>
        <w:pStyle w:val="Heading2"/>
        <w:spacing w:after="120" w:before="280"/>
      </w:pPr>
      <w:r>
        <w:t xml:space="preserve">Scope</w:t>
      </w:r>
    </w:p>
    <w:p>
      <w:pPr>
        <w:spacing w:after="160" w:line="276"/>
      </w:pPr>
      <w:r>
        <w:t xml:space="preserve">In scope: scoring, triage decision, reason codes, case queue, monitoring, and a cost-based policy. Out of scope: the actual NPCI switch integration, customer KYC, and chargeback processing (simulated).</w:t>
      </w:r>
    </w:p>
    <w:p>
      <w:pPr>
        <w:pStyle w:val="Heading1"/>
        <w:spacing w:after="160" w:before="360"/>
      </w:pPr>
      <w:r>
        <w:t xml:space="preserve">2. Requirement Specifications and Measurable Goals</w:t>
      </w:r>
    </w:p>
    <w:p>
      <w:pPr>
        <w:spacing w:after="160" w:line="276"/>
      </w:pPr>
      <w:r>
        <w:t xml:space="preserve">Goals are organised in four layers, each attached to a SMART measure and a way to measure it.</w:t>
      </w:r>
    </w:p>
    <w:p>
      <w:pPr>
        <w:pStyle w:val="Heading2"/>
        <w:spacing w:after="120" w:before="280"/>
      </w:pPr>
      <w:r>
        <w:t xml:space="preserve">2.1 Layered Goals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3277"/>
        <w:gridCol w:w="2891"/>
      </w:tblGrid>
      <w:tr>
        <w:trPr>
          <w:tblHeader/>
        </w:trPr>
        <w:tc>
          <w:tcPr>
            <w:tcW w:type="dxa" w:w="1349"/>
            <w:shd w:fill="2F5496" w:val="clear"/>
            <w:tcMar>
              <w:top w:type="dxa" w:w="80"/>
              <w:left w:type="dxa" w:w="100"/>
              <w:bottom w:type="dxa" w:w="80"/>
              <w:right w:type="dxa" w:w="100"/>
            </w:tcMar>
          </w:tcPr>
          <w:p>
            <w:pPr>
              <w:jc w:val="left"/>
            </w:pPr>
            <w:r>
              <w:rPr>
                <w:b/>
                <w:bCs/>
                <w:i w:val="false"/>
                <w:iCs w:val="false"/>
                <w:color w:val="FFFFFF"/>
                <w:sz w:val="20"/>
                <w:szCs w:val="20"/>
              </w:rPr>
              <w:t xml:space="preserve">Layer</w:t>
            </w:r>
          </w:p>
        </w:tc>
        <w:tc>
          <w:tcPr>
            <w:tcW w:type="dxa" w:w="2120"/>
            <w:shd w:fill="2F5496" w:val="clear"/>
            <w:tcMar>
              <w:top w:type="dxa" w:w="80"/>
              <w:left w:type="dxa" w:w="100"/>
              <w:bottom w:type="dxa" w:w="80"/>
              <w:right w:type="dxa" w:w="100"/>
            </w:tcMar>
          </w:tcPr>
          <w:p>
            <w:pPr>
              <w:jc w:val="left"/>
            </w:pPr>
            <w:r>
              <w:rPr>
                <w:b/>
                <w:bCs/>
                <w:i w:val="false"/>
                <w:iCs w:val="false"/>
                <w:color w:val="FFFFFF"/>
                <w:sz w:val="20"/>
                <w:szCs w:val="20"/>
              </w:rPr>
              <w:t xml:space="preserve">Goal</w:t>
            </w:r>
          </w:p>
        </w:tc>
        <w:tc>
          <w:tcPr>
            <w:tcW w:type="dxa" w:w="3277"/>
            <w:shd w:fill="2F5496" w:val="clear"/>
            <w:tcMar>
              <w:top w:type="dxa" w:w="80"/>
              <w:left w:type="dxa" w:w="100"/>
              <w:bottom w:type="dxa" w:w="80"/>
              <w:right w:type="dxa" w:w="100"/>
            </w:tcMar>
          </w:tcPr>
          <w:p>
            <w:pPr>
              <w:jc w:val="left"/>
            </w:pPr>
            <w:r>
              <w:rPr>
                <w:b/>
                <w:bCs/>
                <w:i w:val="false"/>
                <w:iCs w:val="false"/>
                <w:color w:val="FFFFFF"/>
                <w:sz w:val="20"/>
                <w:szCs w:val="20"/>
              </w:rPr>
              <w:t xml:space="preserve">Measure (SMART)</w:t>
            </w:r>
          </w:p>
        </w:tc>
        <w:tc>
          <w:tcPr>
            <w:tcW w:type="dxa" w:w="2891"/>
            <w:shd w:fill="2F5496" w:val="clear"/>
            <w:tcMar>
              <w:top w:type="dxa" w:w="80"/>
              <w:left w:type="dxa" w:w="100"/>
              <w:bottom w:type="dxa" w:w="80"/>
              <w:right w:type="dxa" w:w="100"/>
            </w:tcMar>
          </w:tcPr>
          <w:p>
            <w:pPr>
              <w:jc w:val="left"/>
            </w:pPr>
            <w:r>
              <w:rPr>
                <w:b/>
                <w:bCs/>
                <w:i w:val="false"/>
                <w:iCs w:val="false"/>
                <w:color w:val="FFFFFF"/>
                <w:sz w:val="20"/>
                <w:szCs w:val="20"/>
              </w:rPr>
              <w:t xml:space="preserve">How Measured</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Reduce fraud losses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2 bps of payment value within 6 months (baseline 5 bps)</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Monthly finance report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Protect customer experience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False-decline rate ≤ 0.5% of genuine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Declines later confirmed genuine</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Intervene before money moves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85% of fraud value gets STEP_UP or BLOCK</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Offline replay on test month</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Decide in real time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p95 ≤ 150 ms, p99 ≤ 300 ms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Load test + /metrics</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User (analyst)</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Work the riskiest cases first</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80% of confirmed fraud in top 20% of queue</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Case-service analytics</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User (customer)</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Little friction</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STEP_UP rate ≤ 3% of all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Decision-mix metric</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Rank fraud well on imbalanced data</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PR-AUC ≥ 0.80; Recall ≥ 85% at FPR ≤ 1%</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Time-based hold-out test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Stay current</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Retrain when PSI &gt; 0.2 or weekly</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Monitoring service</w:t>
            </w:r>
          </w:p>
        </w:tc>
      </w:tr>
    </w:tbl>
    <w:p>
      <w:pPr>
        <w:pStyle w:val="Heading2"/>
        <w:spacing w:after="120" w:before="280"/>
      </w:pPr>
      <w:r>
        <w:t xml:space="preserve">2.2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shd w:fill="2F5496" w:val="clear"/>
            <w:tcMar>
              <w:top w:type="dxa" w:w="80"/>
              <w:left w:type="dxa" w:w="100"/>
              <w:bottom w:type="dxa" w:w="80"/>
              <w:right w:type="dxa" w:w="100"/>
            </w:tcMar>
          </w:tcPr>
          <w:p>
            <w:pPr>
              <w:jc w:val="left"/>
            </w:pPr>
            <w:r>
              <w:rPr>
                <w:b/>
                <w:bCs/>
                <w:i w:val="false"/>
                <w:iCs w:val="false"/>
                <w:color w:val="FFFFFF"/>
                <w:sz w:val="20"/>
                <w:szCs w:val="20"/>
              </w:rPr>
              <w:t xml:space="preserve">ID</w:t>
            </w:r>
          </w:p>
        </w:tc>
        <w:tc>
          <w:tcPr>
            <w:tcW w:type="dxa" w:w="8674"/>
            <w:shd w:fill="2F5496" w:val="clear"/>
            <w:tcMar>
              <w:top w:type="dxa" w:w="80"/>
              <w:left w:type="dxa" w:w="100"/>
              <w:bottom w:type="dxa" w:w="80"/>
              <w:right w:type="dxa" w:w="100"/>
            </w:tcMar>
          </w:tcPr>
          <w:p>
            <w:pPr>
              <w:jc w:val="left"/>
            </w:pPr>
            <w:r>
              <w:rPr>
                <w:b/>
                <w:bCs/>
                <w:i w:val="false"/>
                <w:iCs w:val="false"/>
                <w:color w:val="FFFFFF"/>
                <w:sz w:val="20"/>
                <w:szCs w:val="20"/>
              </w:rPr>
              <w:t xml:space="preserve">Requirement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FR1</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Score each payment request and return {decision, risk_score, reason_codes[≤3], model_version, latency_ms}.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FR2</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Apply deterministic hard rules first: blocklisted payee VPA → BLOCK; amount above the hard limit → BLOCK.</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FR3</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Map the score to ALLOW / STEP_UP / BLOCK using cost-based thresholds.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FR4</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Publish every decision as a payment.decided event.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FR5</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Create an analyst case for every BLOCK and for STEP_UP above ₹10,000. Priority = score × amount.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FR6</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Let analysts list cases and resolve them (CONFIRMED_FRAUD / GENUINE). Each resolution becomes a label.</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FR7</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Update the payer/payee's behavioural (velocity) features after every payment.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FR8</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Monitor decision mix, score drift (PSI) and latency, and raise an alert when thresholds are breached.</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FR9</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If the ML scorer is unhealthy, fall back to rules only and return degraded=true. Never hang.</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FR10</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Version every model in a registry. Serving loads the champion alias.</w:t>
            </w:r>
          </w:p>
        </w:tc>
      </w:tr>
    </w:tbl>
    <w:p>
      <w:pPr>
        <w:pStyle w:val="Heading2"/>
        <w:spacing w:after="120" w:before="280"/>
      </w:pPr>
      <w:r>
        <w:t xml:space="preserve">2.3 Assumptions</w:t>
      </w:r>
    </w:p>
    <w:p>
      <w:pPr>
        <w:pStyle w:val="ListParagraph"/>
        <w:numPr>
          <w:ilvl w:val="0"/>
          <w:numId w:val="2"/>
        </w:numPr>
        <w:spacing w:after="80"/>
      </w:pPr>
      <w:r>
        <w:t xml:space="preserve">A1: Fraud labels arrive late (up to 30 days), so training uses only mature labels.</w:t>
      </w:r>
    </w:p>
    <w:p>
      <w:pPr>
        <w:pStyle w:val="ListParagraph"/>
        <w:numPr>
          <w:ilvl w:val="0"/>
          <w:numId w:val="2"/>
        </w:numPr>
        <w:spacing w:after="80"/>
      </w:pPr>
      <w:r>
        <w:t xml:space="preserve">A2: Fraudsters adapt, so the data distribution drifts and retraining is required.</w:t>
      </w:r>
    </w:p>
    <w:p>
      <w:pPr>
        <w:pStyle w:val="ListParagraph"/>
        <w:numPr>
          <w:ilvl w:val="0"/>
          <w:numId w:val="2"/>
        </w:numPr>
        <w:spacing w:after="80"/>
      </w:pPr>
      <w:r>
        <w:t xml:space="preserve">A3: Upstream sends a well-formed payment message with payer/payee account IDs, type, amount and pre-transaction balances.</w:t>
      </w:r>
    </w:p>
    <w:p>
      <w:pPr>
        <w:pStyle w:val="ListParagraph"/>
        <w:numPr>
          <w:ilvl w:val="0"/>
          <w:numId w:val="2"/>
        </w:numPr>
        <w:spacing w:after="80"/>
      </w:pPr>
      <w:r>
        <w:t xml:space="preserve">A4: Fraud base rate is low (0.1–1%; ~0.13% overall, ~0.3% within TRANSFER/CASH_OUT in our dataset).</w:t>
      </w:r>
    </w:p>
    <w:p>
      <w:pPr>
        <w:pStyle w:val="ListParagraph"/>
        <w:numPr>
          <w:ilvl w:val="0"/>
          <w:numId w:val="2"/>
        </w:numPr>
        <w:spacing w:after="80"/>
      </w:pPr>
      <w:r>
        <w:t xml:space="preserve">A5: PaySim (simulated mobile money) is a reasonable public proxy for UPI P2P payments; it lacks device/geo signals, which a real deployment would add.</w:t>
      </w:r>
    </w:p>
    <w:p>
      <w:r>
        <w:br w:type="page"/>
      </w:r>
    </w:p>
    <w:p>
      <w:pPr>
        <w:pStyle w:val="Heading1"/>
        <w:spacing w:after="160" w:before="360"/>
      </w:pPr>
      <w:r>
        <w:t xml:space="preserve">3. GR4ML Views</w:t>
      </w:r>
    </w:p>
    <w:p>
      <w:pPr>
        <w:spacing w:after="160" w:line="276"/>
      </w:pPr>
      <w:r>
        <w:t xml:space="preserve">We model the system in GR4ML across its three views, following the notation and legends taught in Session 3.</w:t>
      </w:r>
    </w:p>
    <w:p>
      <w:pPr>
        <w:pStyle w:val="Heading2"/>
        <w:spacing w:after="120" w:before="280"/>
      </w:pPr>
      <w:r>
        <w:t xml:space="preserve">3.1 Business View (Why?)</w:t>
      </w:r>
    </w:p>
    <w:p>
      <w:pPr>
        <w:spacing w:before="120"/>
        <w:jc w:val="center"/>
      </w:pPr>
      <w:r>
        <w:drawing>
          <wp:inline distT="0" distB="0" distL="0" distR="0">
            <wp:extent cx="612457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3638550"/>
                    </a:xfrm>
                    <a:prstGeom prst="rect">
                      <a:avLst/>
                    </a:prstGeom>
                  </pic:spPr>
                </pic:pic>
              </a:graphicData>
            </a:graphic>
          </wp:inline>
        </w:drawing>
      </w:r>
    </w:p>
    <w:p>
      <w:pPr>
        <w:spacing w:after="240" w:before="60"/>
      </w:pPr>
      <w:r>
        <w:rPr>
          <w:i/>
          <w:iCs/>
          <w:color w:val="666666"/>
          <w:sz w:val="20"/>
          <w:szCs w:val="20"/>
        </w:rPr>
        <w:t xml:space="preserve">Figure 1. Business View — four actors desire a strategic goal that splits (AND) into three decision goals; each is answered by a question goal, each answered by an insight.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Actor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Fraud Risk Manager, Customer (Payer), Fraud Analyst, Compliance Officer</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Strategic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G0: Grow digital payments safely</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Decision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D1: triage action per payment · D2: case review priority · D3: block payee VPA</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Question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Q1: fraud probability? · Q2: which risk factors? · Q3: expected loss of case?</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Insight</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Payment Fraud Risk Predictive Model · Risk Reason Codes · Case Priority Score</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Indicator</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Fraud loss (bps of GMV) · False-decline rate (%)</w:t>
            </w:r>
          </w:p>
        </w:tc>
      </w:tr>
    </w:tbl>
    <w:p>
      <w:pPr>
        <w:pStyle w:val="Heading2"/>
        <w:spacing w:after="120" w:before="280"/>
      </w:pPr>
      <w:r>
        <w:t xml:space="preserve">3.2 Analytics Design View (What?)</w:t>
      </w:r>
    </w:p>
    <w:p>
      <w:pPr>
        <w:spacing w:before="120"/>
        <w:jc w:val="center"/>
      </w:pPr>
      <w:r>
        <w:drawing>
          <wp:inline distT="0" distB="0" distL="0" distR="0">
            <wp:extent cx="6124575"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857500"/>
                    </a:xfrm>
                    <a:prstGeom prst="rect">
                      <a:avLst/>
                    </a:prstGeom>
                  </pic:spPr>
                </pic:pic>
              </a:graphicData>
            </a:graphic>
          </wp:inline>
        </w:drawing>
      </w:r>
    </w:p>
    <w:p>
      <w:pPr>
        <w:spacing w:after="240" w:before="60"/>
      </w:pPr>
      <w:r>
        <w:rPr>
          <w:i/>
          <w:iCs/>
          <w:color w:val="666666"/>
          <w:sz w:val="20"/>
          <w:szCs w:val="20"/>
        </w:rPr>
        <w:t xml:space="preserve">Figure 2. Analytics Design View — four candidate algorithms and their influence on the softgoals from Section 4. Three were trained and compared in training/train.py (Section 7.3); Isolation Forest was considered and rejected without 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Analytics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AG1 Classification (Prediction) · AG2 Triage policy (Prescription) · AG3 Explanation (Description)</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Algorithm</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Logistic Regression, Random Forest, Isolation Forest, LightGBM (champion)</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Softgoal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Detection accuracy, Low inference latency, Interpretability, Tolerance to missing values, Adaptability to drift</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Satisfied / Denied</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LightGBM satisfied (tied best on validation accuracy; fastest to score and explain one payment; smallest; quickest to retrain) · Random Forest denied (equally accurate, but 6–12x slower per payment and 6x larger) · Logistic Regression denied (validation PR-AUC 0.924) · Isolation Forest denied (considered, not trained: unsupervised, ignores the labels we have)</w:t>
            </w:r>
          </w:p>
        </w:tc>
      </w:tr>
    </w:tbl>
    <w:p>
      <w:pPr>
        <w:pStyle w:val="Heading2"/>
        <w:spacing w:after="120" w:before="280"/>
      </w:pPr>
      <w:r>
        <w:t xml:space="preserve">3.3 Data Preparation View (How?)</w:t>
      </w:r>
    </w:p>
    <w:p>
      <w:pPr>
        <w:spacing w:before="120"/>
        <w:jc w:val="center"/>
      </w:pPr>
      <w:r>
        <w:drawing>
          <wp:inline distT="0" distB="0" distL="0" distR="0">
            <wp:extent cx="6124575" cy="2076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076450"/>
                    </a:xfrm>
                    <a:prstGeom prst="rect">
                      <a:avLst/>
                    </a:prstGeom>
                  </pic:spPr>
                </pic:pic>
              </a:graphicData>
            </a:graphic>
          </wp:inline>
        </w:drawing>
      </w:r>
    </w:p>
    <w:p>
      <w:pPr>
        <w:spacing w:after="240" w:before="60"/>
      </w:pPr>
      <w:r>
        <w:rPr>
          <w:i/>
          <w:iCs/>
          <w:color w:val="666666"/>
          <w:sz w:val="20"/>
          <w:szCs w:val="20"/>
        </w:rPr>
        <w:t xml:space="preserve">Figure 3. Data Preparation View — the operator chain from training/build_features.py, with the leaked post-transaction columns marked as dropped.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Entity (source)</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PaySimTransaction (step, type, amount, nameOrig, oldbalanceOrg, nameDest, oldbalanceDest, isFraud)</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Entity (output)</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TrainingFeatureTable (txn_id, 13 features, isFraud)</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Operator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Filter · Leakage removal · Clean · Windowed aggregation · Derive · Encode · Split · Imbalance handling</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Note</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Point-in-time correctness; one shared feature function between training and serving (no train/serve skew)</w:t>
            </w:r>
          </w:p>
        </w:tc>
      </w:tr>
    </w:tbl>
    <w:p>
      <w:pPr>
        <w:pStyle w:val="Heading1"/>
        <w:spacing w:after="160" w:before="360"/>
      </w:pPr>
      <w:r>
        <w:t xml:space="preserve">4. Top-3 Quality Requirements</w:t>
      </w:r>
    </w:p>
    <w:p>
      <w:pPr>
        <w:spacing w:after="160" w:line="276"/>
      </w:pPr>
      <w:r>
        <w:t xml:space="preserve">Each is written as a QA scenario and verified by an automated test, so a regression is caught rather than just documented.</w:t>
      </w:r>
    </w:p>
    <w:p>
      <w:pPr>
        <w:pStyle w:val="Heading3"/>
        <w:spacing w:after="100" w:before="200"/>
      </w:pPr>
      <w:r>
        <w:t xml:space="preserve">1. Performance (latency and throughput)</w:t>
      </w:r>
    </w:p>
    <w:p>
      <w:pPr>
        <w:spacing w:after="160" w:line="276"/>
      </w:pPr>
      <w:r>
        <w:t xml:space="preserve">Under 100 payments/s normal load, the system returns a triage decision with p95 ≤ 150 ms and p99 ≤ 300 ms. Model inference p95 ≤ 50 ms.</w:t>
      </w:r>
    </w:p>
    <w:p>
      <w:pPr>
        <w:spacing w:after="160" w:line="276"/>
      </w:pPr>
      <w:r>
        <w:rPr>
          <w:b/>
          <w:bCs/>
          <w:i/>
          <w:iCs/>
          <w:color w:val="666666"/>
        </w:rPr>
        <w:t xml:space="preserve">Why: </w:t>
      </w:r>
      <w:r>
        <w:rPr>
          <w:i/>
          <w:iCs/>
          <w:color w:val="666666"/>
        </w:rPr>
        <w:t xml:space="preserve">the decision sits inside the payment authorisation path. A slow risk check makes payments time out, hurting both the customer and the PSP's success-rate metrics — a business loss even with perfect accuracy.</w:t>
      </w:r>
    </w:p>
    <w:p>
      <w:pPr>
        <w:spacing w:after="160" w:line="276"/>
      </w:pPr>
      <w:r>
        <w:t xml:space="preserve">Design response: model loaded in memory once, feature store in Redis (O(1) lookups), async side-effects through events so cases and monitoring add no latency, a compact tree model.</w:t>
      </w:r>
    </w:p>
    <w:p>
      <w:pPr>
        <w:spacing w:after="160" w:line="276"/>
      </w:pPr>
      <w:r>
        <w:rPr>
          <w:b/>
          <w:bCs/>
        </w:rPr>
        <w:t xml:space="preserve">Verified by: </w:t>
      </w:r>
      <w:r>
        <w:t xml:space="preserve">tests/test_quality_performance.py and scripts/load_test.py.</w:t>
      </w:r>
    </w:p>
    <w:p>
      <w:pPr>
        <w:pStyle w:val="Heading3"/>
        <w:spacing w:after="100" w:before="200"/>
      </w:pPr>
      <w:r>
        <w:t xml:space="preserve">2. Model accuracy (cost-sensitive detection)</w:t>
      </w:r>
    </w:p>
    <w:p>
      <w:pPr>
        <w:spacing w:after="160" w:line="276"/>
      </w:pPr>
      <w:r>
        <w:t xml:space="preserve">On a time-based hold-out month, Recall ≥ 85% at FPR ≤ 1% and PR-AUC ≥ 0.80. Precision of BLOCK decisions ≥ 90%.</w:t>
      </w:r>
    </w:p>
    <w:p>
      <w:pPr>
        <w:spacing w:after="160" w:line="276"/>
      </w:pPr>
      <w:r>
        <w:rPr>
          <w:b/>
          <w:bCs/>
          <w:i/>
          <w:iCs/>
          <w:color w:val="666666"/>
        </w:rPr>
        <w:t xml:space="preserve">Why: </w:t>
      </w:r>
      <w:r>
        <w:rPr>
          <w:i/>
          <w:iCs/>
          <w:color w:val="666666"/>
        </w:rPr>
        <w:t xml:space="preserve">a missed fraud is a direct monetary loss; a false BLOCK loses a customer. Plain accuracy is meaningless at a ~1% base rate, so we use PR-AUC and recall at a fixed FPR.</w:t>
      </w:r>
    </w:p>
    <w:p>
      <w:pPr>
        <w:spacing w:after="160" w:line="276"/>
      </w:pPr>
      <w:r>
        <w:t xml:space="preserve">Design response: LightGBM with class weights, expected-cost thresholds, a 3-way decision (STEP_UP absorbs uncertainty), an analyst feedback loop.</w:t>
      </w:r>
    </w:p>
    <w:p>
      <w:pPr>
        <w:spacing w:after="160" w:line="276"/>
      </w:pPr>
      <w:r>
        <w:rPr>
          <w:b/>
          <w:bCs/>
        </w:rPr>
        <w:t xml:space="preserve">Verified by: </w:t>
      </w:r>
      <w:r>
        <w:t xml:space="preserve">tests/test_quality_model.py, a quality gate that blocks registration as champion.</w:t>
      </w:r>
    </w:p>
    <w:p>
      <w:pPr>
        <w:pStyle w:val="Heading3"/>
        <w:spacing w:after="100" w:before="200"/>
      </w:pPr>
      <w:r>
        <w:t xml:space="preserve">3. Explainability</w:t>
      </w:r>
    </w:p>
    <w:p>
      <w:pPr>
        <w:spacing w:after="160" w:line="276"/>
      </w:pPr>
      <w:r>
        <w:t xml:space="preserve">Every STEP_UP or BLOCK decision returns the top-3 reason codes in plain language (e.g. “Transfer drains 100% of the sender's balance”), adding ≤ 10 ms p95.</w:t>
      </w:r>
    </w:p>
    <w:p>
      <w:pPr>
        <w:spacing w:after="160" w:line="276"/>
      </w:pPr>
      <w:r>
        <w:rPr>
          <w:b/>
          <w:bCs/>
          <w:i/>
          <w:iCs/>
          <w:color w:val="666666"/>
        </w:rPr>
        <w:t xml:space="preserve">Why: </w:t>
      </w:r>
      <w:r>
        <w:rPr>
          <w:i/>
          <w:iCs/>
          <w:color w:val="666666"/>
        </w:rPr>
        <w:t xml:space="preserve">analysts must justify actions on customer complaints and disputes; regulators expect decisions on customer funds to be explainable; reason codes also speed up case resolution.</w:t>
      </w:r>
    </w:p>
    <w:p>
      <w:pPr>
        <w:spacing w:after="160" w:line="276"/>
      </w:pPr>
      <w:r>
        <w:t xml:space="preserve">Design response: SHAP TreeExplainer and a feature-to-text mapping.</w:t>
      </w:r>
    </w:p>
    <w:p>
      <w:pPr>
        <w:spacing w:after="160" w:line="276"/>
      </w:pPr>
      <w:r>
        <w:rPr>
          <w:b/>
          <w:bCs/>
        </w:rPr>
        <w:t xml:space="preserve">Verified by: </w:t>
      </w:r>
      <w:r>
        <w:t xml:space="preserve">tests/test_quality_explainability.py.</w:t>
      </w:r>
    </w:p>
    <w:p>
      <w:pPr>
        <w:pStyle w:val="Heading2"/>
        <w:spacing w:after="120" w:before="280"/>
      </w:pPr>
      <w:r>
        <w:t xml:space="preserve">Also considered (ranked lower)</w:t>
      </w:r>
    </w:p>
    <w:p>
      <w:pPr>
        <w:spacing w:after="160" w:line="276"/>
      </w:pPr>
      <w:r>
        <w:t xml:space="preserve">Availability/reliability (handled architecturally by the heartbeat and fallback tactic, FR9), robustness, fairness (no demographic features are used), privacy (hashing VPAs in logs), and scalability. Trade-offs: accuracy vs. latency (a bigger model is slower); explainability vs. latency (SHAP adds cost); accuracy vs. friction (the threshold trade-off).</w:t>
      </w:r>
    </w:p>
    <w:p>
      <w:pPr>
        <w:pStyle w:val="Heading1"/>
        <w:spacing w:after="160" w:before="360"/>
      </w:pPr>
      <w:r>
        <w:t xml:space="preserve">5. System Architecture</w:t>
      </w:r>
    </w:p>
    <w:p>
      <w:pPr>
        <w:spacing w:after="160" w:line="276"/>
      </w:pPr>
      <w:r>
        <w:t xml:space="preserve">ML components are shown in blue, non-ML in amber, and the asynchronous event bus in purple. Solid arrows are synchronous calls; dashed arrows are published events.</w:t>
      </w:r>
    </w:p>
    <w:p>
      <w:pPr>
        <w:spacing w:before="120"/>
        <w:jc w:val="center"/>
      </w:pPr>
      <w:r>
        <w:drawing>
          <wp:inline distT="0" distB="0" distL="0" distR="0">
            <wp:extent cx="612457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4. System architecture — matches docker-compose.yml component-for-component.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928"/>
        <w:gridCol w:w="5205"/>
      </w:tblGrid>
      <w:tr>
        <w:trPr>
          <w:tblHeader/>
        </w:trPr>
        <w:tc>
          <w:tcPr>
            <w:tcW w:type="dxa" w:w="2506"/>
            <w:shd w:fill="2F5496" w:val="clear"/>
            <w:tcMar>
              <w:top w:type="dxa" w:w="80"/>
              <w:left w:type="dxa" w:w="100"/>
              <w:bottom w:type="dxa" w:w="80"/>
              <w:right w:type="dxa" w:w="100"/>
            </w:tcMar>
          </w:tcPr>
          <w:p>
            <w:pPr>
              <w:jc w:val="left"/>
            </w:pPr>
            <w:r>
              <w:rPr>
                <w:b/>
                <w:bCs/>
                <w:i w:val="false"/>
                <w:iCs w:val="false"/>
                <w:color w:val="FFFFFF"/>
                <w:sz w:val="20"/>
                <w:szCs w:val="20"/>
              </w:rPr>
              <w:t xml:space="preserve">Component</w:t>
            </w:r>
          </w:p>
        </w:tc>
        <w:tc>
          <w:tcPr>
            <w:tcW w:type="dxa" w:w="1928"/>
            <w:shd w:fill="2F5496" w:val="clear"/>
            <w:tcMar>
              <w:top w:type="dxa" w:w="80"/>
              <w:left w:type="dxa" w:w="100"/>
              <w:bottom w:type="dxa" w:w="80"/>
              <w:right w:type="dxa" w:w="100"/>
            </w:tcMar>
          </w:tcPr>
          <w:p>
            <w:pPr>
              <w:jc w:val="left"/>
            </w:pPr>
            <w:r>
              <w:rPr>
                <w:b/>
                <w:bCs/>
                <w:i w:val="false"/>
                <w:iCs w:val="false"/>
                <w:color w:val="FFFFFF"/>
                <w:sz w:val="20"/>
                <w:szCs w:val="20"/>
              </w:rPr>
              <w:t xml:space="preserve">ML / non-ML</w:t>
            </w:r>
          </w:p>
        </w:tc>
        <w:tc>
          <w:tcPr>
            <w:tcW w:type="dxa" w:w="5205"/>
            <w:shd w:fill="2F5496" w:val="clear"/>
            <w:tcMar>
              <w:top w:type="dxa" w:w="80"/>
              <w:left w:type="dxa" w:w="100"/>
              <w:bottom w:type="dxa" w:w="80"/>
              <w:right w:type="dxa" w:w="100"/>
            </w:tcMar>
          </w:tcPr>
          <w:p>
            <w:pPr>
              <w:jc w:val="left"/>
            </w:pPr>
            <w:r>
              <w:rPr>
                <w:b/>
                <w:bCs/>
                <w:i w:val="false"/>
                <w:iCs w:val="false"/>
                <w:color w:val="FFFFFF"/>
                <w:sz w:val="20"/>
                <w:szCs w:val="20"/>
              </w:rPr>
              <w:t xml:space="preserve">Responsibility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triage-api</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Auth, hard rules, heartbeat-gated scorer call, cost policy, publishes decisions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scoring</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Pipe-and-filter inference: validate → features → predict → SHAP explain</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Online Feature Store (Redis)</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24h receiver velocity, read before score, written after decision</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MLflow Registry</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Experiment tracking, model versioning, champion alias</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case-service</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Opens/lists/resolves analyst cases; verdicts become labels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feature-updater</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 (consumer)</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Writes velocity state asynchronously so it never adds request latency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monitor</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PSI drift, decision mix, p95 latency, alerts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Analyst Console</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Streamlit UI: simulate payments, work the case queue, view metrics</w:t>
            </w:r>
          </w:p>
        </w:tc>
      </w:tr>
    </w:tbl>
    <w:p>
      <w:pPr>
        <w:pStyle w:val="Heading1"/>
        <w:spacing w:after="160" w:before="360"/>
      </w:pPr>
      <w:r>
        <w:t xml:space="preserve">6. Architectural Patterns</w:t>
      </w:r>
    </w:p>
    <w:p>
      <w:pPr>
        <w:spacing w:after="160" w:line="276"/>
      </w:pPr>
      <w:r>
        <w:t xml:space="preserve">Each pattern is written as a {Context, Problem, Solution} triple, with the reason it fits this system and its consequences.</w:t>
      </w:r>
    </w:p>
    <w:p>
      <w:pPr>
        <w:pStyle w:val="Heading2"/>
        <w:spacing w:after="120" w:before="280"/>
      </w:pPr>
      <w:r>
        <w:t xml:space="preserve">6.1 Microservices</w:t>
      </w:r>
    </w:p>
    <w:p>
      <w:pPr>
        <w:spacing w:after="160" w:line="276"/>
      </w:pPr>
      <w:r>
        <w:rPr>
          <w:b/>
          <w:bCs/>
        </w:rPr>
        <w:t xml:space="preserve">Context: </w:t>
      </w:r>
      <w:r>
        <w:t xml:space="preserve">a fraud platform with parts that change and scale at different rates — the model is retrained weekly, rules change daily, case management changes rarely.</w:t>
      </w:r>
    </w:p>
    <w:p>
      <w:pPr>
        <w:spacing w:after="160" w:line="276"/>
      </w:pPr>
      <w:r>
        <w:rPr>
          <w:b/>
          <w:bCs/>
        </w:rPr>
        <w:t xml:space="preserve">Problem: </w:t>
      </w:r>
      <w:r>
        <w:t xml:space="preserve">in a monolith, a model update means redeploying everything, scoring load can't be scaled on its own, and a bug in case management can take down authorisation (single point of failure).</w:t>
      </w:r>
    </w:p>
    <w:p>
      <w:pPr>
        <w:spacing w:after="160" w:line="276"/>
      </w:pPr>
      <w:r>
        <w:rPr>
          <w:b/>
          <w:bCs/>
        </w:rPr>
        <w:t xml:space="preserve">Solution: </w:t>
      </w:r>
      <w:r>
        <w:t xml:space="preserve">split by single responsibility into triage-api, scoring-service, case-service, feature-updater and monitor-service, each with its own API or data and its own container.</w:t>
      </w:r>
    </w:p>
    <w:p>
      <w:pPr>
        <w:spacing w:after="160" w:line="276"/>
      </w:pPr>
      <w:r>
        <w:rPr>
          <w:b/>
          <w:bCs/>
          <w:color w:val="2E7D32"/>
        </w:rPr>
        <w:t xml:space="preserve">Fits because: </w:t>
      </w:r>
      <w:r>
        <w:t xml:space="preserve">scoring is the hot path, so it scales on its own (docker compose up --scale scoring=3). The model can be swapped without touching the gateway. Different owners: the data-science team owns scoring, the fraud-ops team owns cases.</w:t>
      </w:r>
    </w:p>
    <w:p>
      <w:pPr>
        <w:spacing w:after="160" w:line="276"/>
      </w:pPr>
      <w:r>
        <w:rPr>
          <w:b/>
          <w:bCs/>
          <w:color w:val="B00020"/>
        </w:rPr>
        <w:t xml:space="preserve">Trade-offs: </w:t>
      </w:r>
      <w:r>
        <w:t xml:space="preserve">network hops add latency (measured, within budget), more operational overhead, distributed failures — which is why we add the heartbeat tactic and a fallback.</w:t>
      </w:r>
    </w:p>
    <w:p>
      <w:pPr>
        <w:pStyle w:val="Heading2"/>
        <w:spacing w:after="120" w:before="280"/>
      </w:pPr>
      <w:r>
        <w:t xml:space="preserve">6.2 Event-Driven Architecture (publish–subscribe)</w:t>
      </w:r>
    </w:p>
    <w:p>
      <w:pPr>
        <w:spacing w:after="160" w:line="276"/>
      </w:pPr>
      <w:r>
        <w:rPr>
          <w:b/>
          <w:bCs/>
        </w:rPr>
        <w:t xml:space="preserve">Context: </w:t>
      </w:r>
      <w:r>
        <w:t xml:space="preserve">each decision triggers several follow-up actions: open a case, update velocity features, update monitoring.</w:t>
      </w:r>
    </w:p>
    <w:p>
      <w:pPr>
        <w:spacing w:after="160" w:line="276"/>
      </w:pPr>
      <w:r>
        <w:rPr>
          <w:b/>
          <w:bCs/>
        </w:rPr>
        <w:t xml:space="preserve">Problem: </w:t>
      </w:r>
      <w:r>
        <w:t xml:space="preserve">doing these synchronously adds latency to the authorisation path (violating QA1) and couples the gateway to every downstream service.</w:t>
      </w:r>
    </w:p>
    <w:p>
      <w:pPr>
        <w:spacing w:after="160" w:line="276"/>
      </w:pPr>
      <w:r>
        <w:rPr>
          <w:b/>
          <w:bCs/>
        </w:rPr>
        <w:t xml:space="preserve">Solution: </w:t>
      </w:r>
      <w:r>
        <w:t xml:space="preserve">triage-api publishes one payment.decided event to Redis Streams. Independent consumer groups subscribe, with at-least-once delivery, acknowledgement (XACK) and replay of pending messages after a crash (XAUTOCLAIM).</w:t>
      </w:r>
    </w:p>
    <w:p>
      <w:pPr>
        <w:spacing w:after="160" w:line="276"/>
      </w:pPr>
      <w:r>
        <w:rPr>
          <w:b/>
          <w:bCs/>
          <w:color w:val="2E7D32"/>
        </w:rPr>
        <w:t xml:space="preserve">Fits because: </w:t>
      </w:r>
      <w:r>
        <w:t xml:space="preserve">it keeps the hot path fast (QA1), lets us add consumers without changing the producer, and tolerates a consumer being down.</w:t>
      </w:r>
    </w:p>
    <w:p>
      <w:pPr>
        <w:spacing w:after="160" w:line="276"/>
      </w:pPr>
      <w:r>
        <w:rPr>
          <w:b/>
          <w:bCs/>
          <w:color w:val="B00020"/>
        </w:rPr>
        <w:t xml:space="preserve">Trade-offs: </w:t>
      </w:r>
      <w:r>
        <w:t xml:space="preserve">eventual consistency — velocity features lag by milliseconds, which is acceptable here. Consumers must be idempotent: we dedupe on txn_id.</w:t>
      </w:r>
    </w:p>
    <w:p>
      <w:pPr>
        <w:pStyle w:val="Heading2"/>
        <w:spacing w:after="120" w:before="280"/>
      </w:pPr>
      <w:r>
        <w:t xml:space="preserve">Supporting patterns and tactics</w:t>
      </w:r>
    </w:p>
    <w:p>
      <w:pPr>
        <w:spacing w:after="160" w:line="276"/>
      </w:pPr>
      <w:r>
        <w:t xml:space="preserve">Pipe-and-filter inside the scoring service · Feature Store pattern · Model Registry pattern (MLflow aliases) · Heartbeat tactic · Real-time serving pattern · Fallback/degradation (rules-only mode).</w:t>
      </w:r>
    </w:p>
    <w:p>
      <w:r>
        <w:br w:type="page"/>
      </w:r>
    </w:p>
    <w:p>
      <w:pPr>
        <w:pStyle w:val="Heading1"/>
        <w:spacing w:after="160" w:before="360"/>
      </w:pPr>
      <w:r>
        <w:t xml:space="preserve">7. Implementation</w:t>
      </w:r>
    </w:p>
    <w:p>
      <w:pPr>
        <w:spacing w:after="160" w:line="276"/>
      </w:pPr>
      <w:r>
        <w:t xml:space="preserve">Code: https://github.com/biswa13de/seml-g13-fraud-triage. Stack: Python 3.11, FastAPI, LightGBM, SHAP, MLflow (its own tracking server, see Section 7.4), Redis 7 (Streams + online feature store), SQLite (cases), Streamlit, pytest, Docker Compose, GitHub Actions.</w:t>
      </w:r>
    </w:p>
    <w:p>
      <w:pPr>
        <w:pStyle w:val="Heading2"/>
        <w:spacing w:after="120" w:before="280"/>
      </w:pPr>
      <w:r>
        <w:t xml:space="preserve">7.1 Dataset</w:t>
      </w:r>
    </w:p>
    <w:p>
      <w:pPr>
        <w:spacing w:after="160" w:line="276"/>
      </w:pPr>
      <w:r>
        <w:t xml:space="preserve">Kaggle PaySim (ealaxi/paysim1): 6.36M simulated mobile-money transactions, 8,213 frauds, licence CC-BY-SA-4.0. Mapping to UPI: nameOrig = payer, nameDest = payee (M… = merchant), TRANSFER = P2P, CASH_OUT = cash-out, step = hour. Post-transaction balance columns (newbalanceOrig/Dest) are dropped — they leak the outcome and aren't known at authorisation time.</w:t>
      </w:r>
    </w:p>
    <w:p>
      <w:pPr>
        <w:pStyle w:val="Heading2"/>
        <w:spacing w:after="120" w:before="280"/>
      </w:pPr>
      <w:r>
        <w:t xml:space="preserve">7.2 Feature Pipeline</w:t>
      </w:r>
    </w:p>
    <w:p>
      <w:pPr>
        <w:spacing w:after="160" w:line="276"/>
      </w:pPr>
      <w:r>
        <w:t xml:space="preserve">One function, common/features.py:compute_features(), is called by both the offline training pipeline and the online scoring service, so the two paths can never drift apart. tests/test_features_parity.py proves this by replaying raw transactions through the same online feature store used at training time and asserting byte-identical output against the offline pipeline.</w:t>
      </w:r>
    </w:p>
    <w:p>
      <w:pPr>
        <w:pStyle w:val="Heading2"/>
        <w:spacing w:after="120" w:before="280"/>
      </w:pPr>
      <w:r>
        <w:t xml:space="preserve">7.3 Model Training and Selection</w:t>
      </w:r>
    </w:p>
    <w:p>
      <w:pPr>
        <w:spacing w:after="160" w:line="276"/>
      </w:pPr>
      <w:r>
        <w:t xml:space="preserve">Three algorithms were trained and logged to MLflow (training/train.py). The selection rule was fixed before looking at the results, and it uses only the validation split. The test split plays no part in the choice; it is kept for the final quality gate (training/register.py).</w:t>
      </w:r>
    </w:p>
    <w:p>
      <w:pPr>
        <w:pStyle w:val="ListParagraph"/>
        <w:numPr>
          <w:ilvl w:val="0"/>
          <w:numId w:val="2"/>
        </w:numPr>
        <w:spacing w:after="80"/>
      </w:pPr>
      <w:r>
        <w:t xml:space="preserve">Step 1: any model whose validation PR-AUC is within 0.001 of the best counts as tied on accuracy.</w:t>
      </w:r>
    </w:p>
    <w:p>
      <w:pPr>
        <w:pStyle w:val="ListParagraph"/>
        <w:numPr>
          <w:ilvl w:val="0"/>
          <w:numId w:val="2"/>
        </w:numPr>
        <w:spacing w:after="80"/>
      </w:pPr>
      <w:r>
        <w:t xml:space="preserve">Step 2: among the tied models, pick the one with the lowest p95 time to score one payment, because the service scores one payment per request inside the QA1 latency budget.</w:t>
      </w:r>
    </w:p>
    <w:p>
      <w:pPr>
        <w:spacing w:after="160" w:line="276"/>
      </w:pPr>
      <w:r>
        <w:t xml:space="preserve">For each model we also measured SHAP explanation time for one payment, model size and training time (Random Forest is timed single-threaded, which is how it would be served):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1180"/>
        <w:gridCol w:w="1377"/>
        <w:gridCol w:w="1377"/>
        <w:gridCol w:w="1377"/>
        <w:gridCol w:w="983"/>
        <w:gridCol w:w="983"/>
      </w:tblGrid>
      <w:tr>
        <w:trPr>
          <w:tblHeader/>
        </w:trPr>
        <w:tc>
          <w:tcPr>
            <w:tcW w:type="dxa" w:w="2360"/>
            <w:shd w:fill="2F5496" w:val="clear"/>
            <w:tcMar>
              <w:top w:type="dxa" w:w="80"/>
              <w:left w:type="dxa" w:w="100"/>
              <w:bottom w:type="dxa" w:w="80"/>
              <w:right w:type="dxa" w:w="100"/>
            </w:tcMar>
          </w:tcPr>
          <w:p>
            <w:pPr>
              <w:jc w:val="left"/>
            </w:pPr>
            <w:r>
              <w:rPr>
                <w:b/>
                <w:bCs/>
                <w:i w:val="false"/>
                <w:iCs w:val="false"/>
                <w:color w:val="FFFFFF"/>
                <w:sz w:val="20"/>
                <w:szCs w:val="20"/>
              </w:rPr>
              <w:t xml:space="preserve">Algorithm</w:t>
            </w:r>
          </w:p>
        </w:tc>
        <w:tc>
          <w:tcPr>
            <w:tcW w:type="dxa" w:w="1180"/>
            <w:shd w:fill="2F5496" w:val="clear"/>
            <w:tcMar>
              <w:top w:type="dxa" w:w="80"/>
              <w:left w:type="dxa" w:w="100"/>
              <w:bottom w:type="dxa" w:w="80"/>
              <w:right w:type="dxa" w:w="100"/>
            </w:tcMar>
          </w:tcPr>
          <w:p>
            <w:pPr>
              <w:jc w:val="left"/>
            </w:pPr>
            <w:r>
              <w:rPr>
                <w:b/>
                <w:bCs/>
                <w:i w:val="false"/>
                <w:iCs w:val="false"/>
                <w:color w:val="FFFFFF"/>
                <w:sz w:val="20"/>
                <w:szCs w:val="20"/>
              </w:rPr>
              <w:t xml:space="preserve">Valid PR-AUC</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Valid Recall @ 1% FPR</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Score 1 payment p95 (ms)</w:t>
            </w:r>
          </w:p>
        </w:tc>
        <w:tc>
          <w:tcPr>
            <w:tcW w:type="dxa" w:w="1377"/>
            <w:shd w:fill="2F5496" w:val="clear"/>
            <w:tcMar>
              <w:top w:type="dxa" w:w="80"/>
              <w:left w:type="dxa" w:w="100"/>
              <w:bottom w:type="dxa" w:w="80"/>
              <w:right w:type="dxa" w:w="100"/>
            </w:tcMar>
          </w:tcPr>
          <w:p>
            <w:pPr>
              <w:jc w:val="left"/>
            </w:pPr>
            <w:r>
              <w:rPr>
                <w:b/>
                <w:bCs/>
                <w:i w:val="false"/>
                <w:iCs w:val="false"/>
                <w:color w:val="FFFFFF"/>
                <w:sz w:val="20"/>
                <w:szCs w:val="20"/>
              </w:rPr>
              <w:t xml:space="preserve">SHAP 1 payment p95 (ms)</w:t>
            </w:r>
          </w:p>
        </w:tc>
        <w:tc>
          <w:tcPr>
            <w:tcW w:type="dxa" w:w="983"/>
            <w:shd w:fill="2F5496" w:val="clear"/>
            <w:tcMar>
              <w:top w:type="dxa" w:w="80"/>
              <w:left w:type="dxa" w:w="100"/>
              <w:bottom w:type="dxa" w:w="80"/>
              <w:right w:type="dxa" w:w="100"/>
            </w:tcMar>
          </w:tcPr>
          <w:p>
            <w:pPr>
              <w:jc w:val="left"/>
            </w:pPr>
            <w:r>
              <w:rPr>
                <w:b/>
                <w:bCs/>
                <w:i w:val="false"/>
                <w:iCs w:val="false"/>
                <w:color w:val="FFFFFF"/>
                <w:sz w:val="20"/>
                <w:szCs w:val="20"/>
              </w:rPr>
              <w:t xml:space="preserve">Size (MB)</w:t>
            </w:r>
          </w:p>
        </w:tc>
        <w:tc>
          <w:tcPr>
            <w:tcW w:type="dxa" w:w="983"/>
            <w:shd w:fill="2F5496" w:val="clear"/>
            <w:tcMar>
              <w:top w:type="dxa" w:w="80"/>
              <w:left w:type="dxa" w:w="100"/>
              <w:bottom w:type="dxa" w:w="80"/>
              <w:right w:type="dxa" w:w="100"/>
            </w:tcMar>
          </w:tcPr>
          <w:p>
            <w:pPr>
              <w:jc w:val="left"/>
            </w:pPr>
            <w:r>
              <w:rPr>
                <w:b/>
                <w:bCs/>
                <w:i w:val="false"/>
                <w:iCs w:val="false"/>
                <w:color w:val="FFFFFF"/>
                <w:sz w:val="20"/>
                <w:szCs w:val="20"/>
              </w:rPr>
              <w:t xml:space="preserve">Train (s)</w:t>
            </w:r>
          </w:p>
        </w:tc>
      </w:tr>
      <w:tr>
        <w:tc>
          <w:tcPr>
            <w:tcW w:type="dxa" w:w="2360"/>
            <w:tcMar>
              <w:top w:type="dxa" w:w="80"/>
              <w:left w:type="dxa" w:w="100"/>
              <w:bottom w:type="dxa" w:w="80"/>
              <w:right w:type="dxa" w:w="100"/>
            </w:tcMar>
          </w:tcPr>
          <w:p>
            <w:pPr>
              <w:jc w:val="left"/>
            </w:pPr>
            <w:r>
              <w:rPr>
                <w:b w:val="false"/>
                <w:bCs w:val="false"/>
                <w:i w:val="false"/>
                <w:iCs w:val="false"/>
                <w:sz w:val="20"/>
                <w:szCs w:val="20"/>
              </w:rPr>
              <w:t xml:space="preserve">LightGBM (champion)</w:t>
            </w:r>
          </w:p>
        </w:tc>
        <w:tc>
          <w:tcPr>
            <w:tcW w:type="dxa" w:w="1180"/>
            <w:tcMar>
              <w:top w:type="dxa" w:w="80"/>
              <w:left w:type="dxa" w:w="100"/>
              <w:bottom w:type="dxa" w:w="80"/>
              <w:right w:type="dxa" w:w="100"/>
            </w:tcMar>
          </w:tcPr>
          <w:p>
            <w:pPr>
              <w:jc w:val="left"/>
            </w:pPr>
            <w:r>
              <w:rPr>
                <w:b w:val="false"/>
                <w:bCs w:val="false"/>
                <w:i w:val="false"/>
                <w:iCs w:val="false"/>
                <w:sz w:val="20"/>
                <w:szCs w:val="20"/>
              </w:rPr>
              <w:t xml:space="preserve">1.00000</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0.28</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0.29</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0.7</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2.0</w:t>
            </w:r>
          </w:p>
        </w:tc>
      </w:tr>
      <w:tr>
        <w:tc>
          <w:tcPr>
            <w:tcW w:type="dxa" w:w="2360"/>
            <w:shd w:fill="F2F2F2" w:val="clear"/>
            <w:tcMar>
              <w:top w:type="dxa" w:w="80"/>
              <w:left w:type="dxa" w:w="100"/>
              <w:bottom w:type="dxa" w:w="80"/>
              <w:right w:type="dxa" w:w="100"/>
            </w:tcMar>
          </w:tcPr>
          <w:p>
            <w:pPr>
              <w:jc w:val="left"/>
            </w:pPr>
            <w:r>
              <w:rPr>
                <w:b w:val="false"/>
                <w:bCs w:val="false"/>
                <w:i w:val="false"/>
                <w:iCs w:val="false"/>
                <w:sz w:val="20"/>
                <w:szCs w:val="20"/>
              </w:rPr>
              <w:t xml:space="preserve">Random Forest</w:t>
            </w:r>
          </w:p>
        </w:tc>
        <w:tc>
          <w:tcPr>
            <w:tcW w:type="dxa" w:w="1180"/>
            <w:shd w:fill="F2F2F2" w:val="clear"/>
            <w:tcMar>
              <w:top w:type="dxa" w:w="80"/>
              <w:left w:type="dxa" w:w="100"/>
              <w:bottom w:type="dxa" w:w="80"/>
              <w:right w:type="dxa" w:w="100"/>
            </w:tcMar>
          </w:tcPr>
          <w:p>
            <w:pPr>
              <w:jc w:val="left"/>
            </w:pPr>
            <w:r>
              <w:rPr>
                <w:b w:val="false"/>
                <w:bCs w:val="false"/>
                <w:i w:val="false"/>
                <w:iCs w:val="false"/>
                <w:sz w:val="20"/>
                <w:szCs w:val="20"/>
              </w:rPr>
              <w:t xml:space="preserve">0.99999</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3.49</w:t>
            </w:r>
          </w:p>
        </w:tc>
        <w:tc>
          <w:tcPr>
            <w:tcW w:type="dxa" w:w="1377"/>
            <w:shd w:fill="F2F2F2" w:val="clear"/>
            <w:tcMar>
              <w:top w:type="dxa" w:w="80"/>
              <w:left w:type="dxa" w:w="100"/>
              <w:bottom w:type="dxa" w:w="80"/>
              <w:right w:type="dxa" w:w="100"/>
            </w:tcMar>
          </w:tcPr>
          <w:p>
            <w:pPr>
              <w:jc w:val="left"/>
            </w:pPr>
            <w:r>
              <w:rPr>
                <w:b w:val="false"/>
                <w:bCs w:val="false"/>
                <w:i w:val="false"/>
                <w:iCs w:val="false"/>
                <w:sz w:val="20"/>
                <w:szCs w:val="20"/>
              </w:rPr>
              <w:t xml:space="preserve">1.95</w:t>
            </w:r>
          </w:p>
        </w:tc>
        <w:tc>
          <w:tcPr>
            <w:tcW w:type="dxa" w:w="983"/>
            <w:shd w:fill="F2F2F2" w:val="clear"/>
            <w:tcMar>
              <w:top w:type="dxa" w:w="80"/>
              <w:left w:type="dxa" w:w="100"/>
              <w:bottom w:type="dxa" w:w="80"/>
              <w:right w:type="dxa" w:w="100"/>
            </w:tcMar>
          </w:tcPr>
          <w:p>
            <w:pPr>
              <w:jc w:val="left"/>
            </w:pPr>
            <w:r>
              <w:rPr>
                <w:b w:val="false"/>
                <w:bCs w:val="false"/>
                <w:i w:val="false"/>
                <w:iCs w:val="false"/>
                <w:sz w:val="20"/>
                <w:szCs w:val="20"/>
              </w:rPr>
              <w:t xml:space="preserve">4.2</w:t>
            </w:r>
          </w:p>
        </w:tc>
        <w:tc>
          <w:tcPr>
            <w:tcW w:type="dxa" w:w="983"/>
            <w:shd w:fill="F2F2F2" w:val="clear"/>
            <w:tcMar>
              <w:top w:type="dxa" w:w="80"/>
              <w:left w:type="dxa" w:w="100"/>
              <w:bottom w:type="dxa" w:w="80"/>
              <w:right w:type="dxa" w:w="100"/>
            </w:tcMar>
          </w:tcPr>
          <w:p>
            <w:pPr>
              <w:jc w:val="left"/>
            </w:pPr>
            <w:r>
              <w:rPr>
                <w:b w:val="false"/>
                <w:bCs w:val="false"/>
                <w:i w:val="false"/>
                <w:iCs w:val="false"/>
                <w:sz w:val="20"/>
                <w:szCs w:val="20"/>
              </w:rPr>
              <w:t xml:space="preserve">9.6</w:t>
            </w:r>
          </w:p>
        </w:tc>
      </w:tr>
      <w:tr>
        <w:tc>
          <w:tcPr>
            <w:tcW w:type="dxa" w:w="2360"/>
            <w:tcMar>
              <w:top w:type="dxa" w:w="80"/>
              <w:left w:type="dxa" w:w="100"/>
              <w:bottom w:type="dxa" w:w="80"/>
              <w:right w:type="dxa" w:w="100"/>
            </w:tcMar>
          </w:tcPr>
          <w:p>
            <w:pPr>
              <w:jc w:val="left"/>
            </w:pPr>
            <w:r>
              <w:rPr>
                <w:b w:val="false"/>
                <w:bCs w:val="false"/>
                <w:i w:val="false"/>
                <w:iCs w:val="false"/>
                <w:sz w:val="20"/>
                <w:szCs w:val="20"/>
              </w:rPr>
              <w:t xml:space="preserve">Logistic Regression</w:t>
            </w:r>
          </w:p>
        </w:tc>
        <w:tc>
          <w:tcPr>
            <w:tcW w:type="dxa" w:w="1180"/>
            <w:tcMar>
              <w:top w:type="dxa" w:w="80"/>
              <w:left w:type="dxa" w:w="100"/>
              <w:bottom w:type="dxa" w:w="80"/>
              <w:right w:type="dxa" w:w="100"/>
            </w:tcMar>
          </w:tcPr>
          <w:p>
            <w:pPr>
              <w:jc w:val="left"/>
            </w:pPr>
            <w:r>
              <w:rPr>
                <w:b w:val="false"/>
                <w:bCs w:val="false"/>
                <w:i w:val="false"/>
                <w:iCs w:val="false"/>
                <w:sz w:val="20"/>
                <w:szCs w:val="20"/>
              </w:rPr>
              <w:t xml:space="preserve">0.92406</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0.9363</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0.66</w:t>
            </w:r>
          </w:p>
        </w:tc>
        <w:tc>
          <w:tcPr>
            <w:tcW w:type="dxa" w:w="1377"/>
            <w:tcMar>
              <w:top w:type="dxa" w:w="80"/>
              <w:left w:type="dxa" w:w="100"/>
              <w:bottom w:type="dxa" w:w="80"/>
              <w:right w:type="dxa" w:w="100"/>
            </w:tcMar>
          </w:tcPr>
          <w:p>
            <w:pPr>
              <w:jc w:val="left"/>
            </w:pPr>
            <w:r>
              <w:rPr>
                <w:b w:val="false"/>
                <w:bCs w:val="false"/>
                <w:i w:val="false"/>
                <w:iCs w:val="false"/>
                <w:sz w:val="20"/>
                <w:szCs w:val="20"/>
              </w:rPr>
              <w:t xml:space="preserve">n/a</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0.0</w:t>
            </w:r>
          </w:p>
        </w:tc>
        <w:tc>
          <w:tcPr>
            <w:tcW w:type="dxa" w:w="983"/>
            <w:tcMar>
              <w:top w:type="dxa" w:w="80"/>
              <w:left w:type="dxa" w:w="100"/>
              <w:bottom w:type="dxa" w:w="80"/>
              <w:right w:type="dxa" w:w="100"/>
            </w:tcMar>
          </w:tcPr>
          <w:p>
            <w:pPr>
              <w:jc w:val="left"/>
            </w:pPr>
            <w:r>
              <w:rPr>
                <w:b w:val="false"/>
                <w:bCs w:val="false"/>
                <w:i w:val="false"/>
                <w:iCs w:val="false"/>
                <w:sz w:val="20"/>
                <w:szCs w:val="20"/>
              </w:rPr>
              <w:t xml:space="preserve">0.9</w:t>
            </w:r>
          </w:p>
        </w:tc>
      </w:tr>
    </w:tbl>
    <w:p>
      <w:pPr>
        <w:spacing w:after="160" w:line="276"/>
      </w:pPr>
      <w:r>
        <w:rPr>
          <w:b/>
          <w:bCs/>
        </w:rPr>
        <w:t xml:space="preserve">Why LightGBM wins. </w:t>
      </w:r>
      <w:r>
        <w:t xml:space="preserve">Random Forest and LightGBM are tied on validation accuracy (both PR-AUC about 1.000 and recall 1.0 at 1% FPR), so accuracy cannot separate them; Logistic Regression is clearly behind (PR-AUC 0.924) and is out at step 1. Between the two tied models, LightGBM scores one payment 6–12x faster across our runs (about 0.3 ms vs 1.7–3.5 ms p95), explains it with SHAP about 7x faster, is about 6x smaller and retrains 5–7x faster. Those are the costs our quality requirements depend on: the latency budget (QA1), cheap per-decision explanations (QA3), and cheap retraining when the data drifts (the “adaptability to drift” softgoal).</w:t>
      </w:r>
    </w:p>
    <w:p>
      <w:pPr>
        <w:spacing w:after="160" w:line="276"/>
      </w:pPr>
      <w:r>
        <w:rPr>
          <w:i/>
          <w:iCs/>
          <w:color w:val="666666"/>
        </w:rPr>
        <w:t xml:space="preserve">Two points for transparency. First, on the test split Random Forest is marginally ahead (PR-AUC 0.99998 vs 0.99974); we deliberately did not use that to choose, because choosing on test data leaks it into the decision and leaves no unbiased final check. LightGBM then passed the quality gate on that test split (PR-AUC 0.9997, Recall at 1% FPR 0.9994). Second, latency figures vary between runs and machines, which is why we report a range; the ordering (LightGBM fastest) held in every run.</w:t>
      </w:r>
    </w:p>
    <w:p>
      <w:pPr>
        <w:spacing w:after="160" w:line="276"/>
      </w:pPr>
      <w:r>
        <w:t xml:space="preserve">One honest finding worth stating plainly: fraud is nearly separable in PaySim by two legitimate pre-transaction signals — fraudulent transfers drain 97.9% of the sender's balance (vs. 42.5% for genuine ones), and 64.9% of the time the receiving account had a zero balance before the payment (vs. 13.8%). This is a documented property of the simulator, not a leak in our pipeline (we verified no post-transaction columns are used), and it is why all three models score very highly. Our cost-threshold and latency results, not raw accuracy, are where real differentiation shows up.</w:t>
      </w:r>
    </w:p>
    <w:p>
      <w:pPr>
        <w:pStyle w:val="Heading2"/>
        <w:spacing w:after="120" w:before="280"/>
      </w:pPr>
      <w:r>
        <w:t xml:space="preserve">7.4 Model Registry: a Real Debugging Story</w:t>
      </w:r>
    </w:p>
    <w:p>
      <w:pPr>
        <w:spacing w:after="160" w:line="276"/>
      </w:pPr>
      <w:r>
        <w:t xml:space="preserve">MLflow's local-filesystem artifact store resolves every artifact path as absolute, relative to the caller's current working directory at the time of logging. That broke the moment a Docker container (a different filesystem, a different CWD) tried to load a model trained on the host: “No such artifact: ''”. The fix was to run MLflow as its own tracking server (mlflow server … --serve-artifacts) so every client — training, registration, and all running services — resolves paths against the same server, not its own filesystem. This is documented in docker-compose.yml and is the reason an mlflow service exists as its own container rather than a bare sqlite file.</w:t>
      </w:r>
    </w:p>
    <w:p>
      <w:pPr>
        <w:pStyle w:val="Heading2"/>
        <w:spacing w:after="120" w:before="280"/>
      </w:pPr>
      <w:r>
        <w:t xml:space="preserve">7.5 Cost-Based Thresholds</w:t>
      </w:r>
    </w:p>
    <w:p>
      <w:pPr>
        <w:spacing w:after="160" w:line="276"/>
      </w:pPr>
      <w:r>
        <w:t xml:space="preserve">training/select_thresholds.py grid-searches two cutoffs on the validation split to minimise an expected-cost function (fraud allowed costs the full amount; a false STEP_UP costs ₹50 friction; a false BLOCK costs ₹500 churn; a STEP_UP'd fraud still carries 20% residual risk), subject to the STEP_UP rate staying under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2F5496" w:val="clear"/>
            <w:tcMar>
              <w:top w:type="dxa" w:w="80"/>
              <w:left w:type="dxa" w:w="100"/>
              <w:bottom w:type="dxa" w:w="80"/>
              <w:right w:type="dxa" w:w="100"/>
            </w:tcMar>
          </w:tcPr>
          <w:p>
            <w:pPr>
              <w:jc w:val="left"/>
            </w:pPr>
            <w:r>
              <w:rPr>
                <w:b/>
                <w:bCs/>
                <w:i w:val="false"/>
                <w:iCs w:val="false"/>
                <w:color w:val="FFFFFF"/>
                <w:sz w:val="20"/>
                <w:szCs w:val="20"/>
              </w:rPr>
              <w:t xml:space="preserve">Parameter</w:t>
            </w:r>
          </w:p>
        </w:tc>
        <w:tc>
          <w:tcPr>
            <w:tcW w:type="dxa" w:w="5783"/>
            <w:shd w:fill="2F5496" w:val="clear"/>
            <w:tcMar>
              <w:top w:type="dxa" w:w="80"/>
              <w:left w:type="dxa" w:w="100"/>
              <w:bottom w:type="dxa" w:w="80"/>
              <w:right w:type="dxa" w:w="100"/>
            </w:tcMar>
          </w:tcPr>
          <w:p>
            <w:pPr>
              <w:jc w:val="left"/>
            </w:pPr>
            <w:r>
              <w:rPr>
                <w:b/>
                <w:bCs/>
                <w:i w:val="false"/>
                <w:iCs w:val="false"/>
                <w:color w:val="FFFFFF"/>
                <w:sz w:val="20"/>
                <w:szCs w:val="20"/>
              </w:rPr>
              <w:t xml:space="preserve">Value</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t_stepup</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0.000401</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t_block</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0.000737</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Resulting STEP_UP rate</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0.36%</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Expected cost (validation)</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₹75,900</w:t>
            </w:r>
          </w:p>
        </w:tc>
      </w:tr>
    </w:tbl>
    <w:p>
      <w:pPr>
        <w:pStyle w:val="Heading2"/>
        <w:spacing w:after="120" w:before="280"/>
      </w:pPr>
      <w:r>
        <w:t xml:space="preserve">7.6 Testing</w:t>
      </w:r>
    </w:p>
    <w:p>
      <w:pPr>
        <w:spacing w:after="160" w:line="276"/>
      </w:pPr>
      <w:r>
        <w:t xml:space="preserve">33 tests, all passing, covering: data quality, feature parity (no train/serve skew), the QA2 model-quality gate with directional sanity checks, QA3 explainability latency, QA1 performance, API contract validation, event pub-sub with consumer-group crash replay, and the FR9 fallback/heartbeat/hard-rules logic. See the screenshot in Section 7.8 and the test files under tests/.</w:t>
      </w:r>
    </w:p>
    <w:p>
      <w:pPr>
        <w:pStyle w:val="Heading2"/>
        <w:spacing w:after="120" w:before="280"/>
      </w:pPr>
      <w:r>
        <w:t xml:space="preserve">7.7 A Second Real Bug, Found by Running the System</w:t>
      </w:r>
    </w:p>
    <w:p>
      <w:pPr>
        <w:spacing w:after="160" w:line="276"/>
      </w:pPr>
      <w:r>
        <w:t xml:space="preserve">Unit tests with mocks never exercised the full HTTP round-trip between services. Once the whole stack ran together in Docker, every /v1/payments/triage call initially returned 500: triage-api was reading a request timer's elapsed value while still inside its own measurement block, before the value was set. Fixed by restructuring the handler so the response is only built after the timing block closes. A second bug surfaced the same way: Redis's blocking XREADGROUP needs the client library's own socket timeout set comfortably above the server-side block duration, or the client gives up and the consumer silently stops reading new events. Both are the kind of integration-only bug the course material (Hidden Technical Debt, Sculley et al.) warns about — correct in isolation, wrong once wired together.</w:t>
      </w:r>
    </w:p>
    <w:p>
      <w:pPr>
        <w:pStyle w:val="Heading2"/>
        <w:spacing w:after="120" w:before="280"/>
      </w:pPr>
      <w:r>
        <w:t xml:space="preserve">7.8 Screenshots and Evidence</w:t>
      </w:r>
    </w:p>
    <w:p>
      <w:pPr>
        <w:spacing w:after="160" w:line="276"/>
      </w:pPr>
      <w:r>
        <w:t xml:space="preserve">The stack was brought up fresh (docker compose down -v, retrain, docker compose up -d --build) and seeded with a small, readable set of scenario payments (scripts/seed_demo.sh) before capturing these.</w:t>
      </w:r>
    </w:p>
    <w:p>
      <w:pPr>
        <w:spacing w:before="120"/>
        <w:jc w:val="center"/>
      </w:pPr>
      <w:r>
        <w:drawing>
          <wp:inline distT="0" distB="0" distL="0" distR="0">
            <wp:extent cx="6124575" cy="1314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314450"/>
                    </a:xfrm>
                    <a:prstGeom prst="rect">
                      <a:avLst/>
                    </a:prstGeom>
                  </pic:spPr>
                </pic:pic>
              </a:graphicData>
            </a:graphic>
          </wp:inline>
        </w:drawing>
      </w:r>
    </w:p>
    <w:p>
      <w:pPr>
        <w:spacing w:after="240" w:before="60"/>
      </w:pPr>
      <w:r>
        <w:rPr>
          <w:i/>
          <w:iCs/>
          <w:color w:val="666666"/>
          <w:sz w:val="20"/>
          <w:szCs w:val="20"/>
        </w:rPr>
        <w:t xml:space="preserve">Figure 5. All 8 containers up; scoring, triage-api, redis and mlflow show (healthy) from their own healthchecks — each service can be built, deployed and scaled independently.</w:t>
      </w:r>
    </w:p>
    <w:p>
      <w:pPr>
        <w:spacing w:before="120"/>
        <w:jc w:val="center"/>
      </w:pPr>
      <w:r>
        <w:drawing>
          <wp:inline distT="0" distB="0" distL="0" distR="0">
            <wp:extent cx="6124575" cy="36766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676650"/>
                    </a:xfrm>
                    <a:prstGeom prst="rect">
                      <a:avLst/>
                    </a:prstGeom>
                  </pic:spPr>
                </pic:pic>
              </a:graphicData>
            </a:graphic>
          </wp:inline>
        </w:drawing>
      </w:r>
    </w:p>
    <w:p>
      <w:pPr>
        <w:spacing w:after="240" w:before="60"/>
      </w:pPr>
      <w:r>
        <w:rPr>
          <w:i/>
          <w:iCs/>
          <w:color w:val="666666"/>
          <w:sz w:val="20"/>
          <w:szCs w:val="20"/>
        </w:rPr>
        <w:t xml:space="preserve">Figure 6. MLflow comparing the three runs on the two numbers the selection rule uses: validation PR-AUC (left axis) and p95 time to score one payment (right axis). LightGBM and Random Forest both reach about 1.000 PR-AUC, but LightGBM's line ends at the bottom (0.28 ms) and Random Forest's at the top (3.49 ms); Logistic Regression starts lower at 0.924. See Section 7.3.</w:t>
      </w:r>
    </w:p>
    <w:p>
      <w:pPr>
        <w:spacing w:before="120"/>
        <w:jc w:val="center"/>
      </w:pPr>
      <w:r>
        <w:drawing>
          <wp:inline distT="0" distB="0" distL="0" distR="0">
            <wp:extent cx="6124575"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533650"/>
                    </a:xfrm>
                    <a:prstGeom prst="rect">
                      <a:avLst/>
                    </a:prstGeom>
                  </pic:spPr>
                </pic:pic>
              </a:graphicData>
            </a:graphic>
          </wp:inline>
        </w:drawing>
      </w:r>
    </w:p>
    <w:p>
      <w:pPr>
        <w:spacing w:after="240" w:before="60"/>
      </w:pPr>
      <w:r>
        <w:rPr>
          <w:i/>
          <w:iCs/>
          <w:color w:val="666666"/>
          <w:sz w:val="20"/>
          <w:szCs w:val="20"/>
        </w:rPr>
        <w:t xml:space="preserve">Figure 7. The registered model fraud-triage-model, version 3, holding the champion alias. Its tags record the selection rule, the cost-based thresholds and the test PR-AUC (0.9997) that passed the quality gate; scoring-service always loads whichever version holds this alias.</w:t>
      </w:r>
    </w:p>
    <w:p>
      <w:pPr>
        <w:spacing w:before="120"/>
        <w:jc w:val="center"/>
      </w:pPr>
      <w:r>
        <w:drawing>
          <wp:inline distT="0" distB="0" distL="0" distR="0">
            <wp:extent cx="6124575" cy="3581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581400"/>
                    </a:xfrm>
                    <a:prstGeom prst="rect">
                      <a:avLst/>
                    </a:prstGeom>
                  </pic:spPr>
                </pic:pic>
              </a:graphicData>
            </a:graphic>
          </wp:inline>
        </w:drawing>
      </w:r>
    </w:p>
    <w:p>
      <w:pPr>
        <w:spacing w:after="240" w:before="60"/>
      </w:pPr>
      <w:r>
        <w:rPr>
          <w:i/>
          <w:iCs/>
          <w:color w:val="666666"/>
          <w:sz w:val="20"/>
          <w:szCs w:val="20"/>
        </w:rPr>
        <w:t xml:space="preserve">Figure 8a. A normal ₹500 transfer via Swagger: very low risk score, ALLOW, 48 ms.</w:t>
      </w:r>
    </w:p>
    <w:p>
      <w:pPr>
        <w:spacing w:before="120"/>
        <w:jc w:val="center"/>
      </w:pPr>
      <w:r>
        <w:drawing>
          <wp:inline distT="0" distB="0" distL="0" distR="0">
            <wp:extent cx="6124575"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8b. A transfer that empties the sender's balance into a fresh, zero-balance account: score 0.9999, BLOCK, with plain-language reason codes.</w:t>
      </w:r>
    </w:p>
    <w:p>
      <w:pPr>
        <w:spacing w:before="120"/>
        <w:jc w:val="center"/>
      </w:pPr>
      <w:r>
        <w:drawing>
          <wp:inline distT="0" distB="0" distL="0" distR="0">
            <wp:extent cx="6124575" cy="2914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914650"/>
                    </a:xfrm>
                    <a:prstGeom prst="rect">
                      <a:avLst/>
                    </a:prstGeom>
                  </pic:spPr>
                </pic:pic>
              </a:graphicData>
            </a:graphic>
          </wp:inline>
        </w:drawing>
      </w:r>
    </w:p>
    <w:p>
      <w:pPr>
        <w:spacing w:after="240" w:before="60"/>
      </w:pPr>
      <w:r>
        <w:rPr>
          <w:i/>
          <w:iCs/>
          <w:color w:val="666666"/>
          <w:sz w:val="20"/>
          <w:szCs w:val="20"/>
        </w:rPr>
        <w:t xml:space="preserve">Figure 9. A negative amount is rejected with 422 before it ever reaches the model — schema validation at the edge.</w:t>
      </w:r>
    </w:p>
    <w:p>
      <w:pPr>
        <w:spacing w:before="120"/>
        <w:jc w:val="center"/>
      </w:pPr>
      <w:r>
        <w:drawing>
          <wp:inline distT="0" distB="0" distL="0" distR="0">
            <wp:extent cx="6124575" cy="3514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514725"/>
                    </a:xfrm>
                    <a:prstGeom prst="rect">
                      <a:avLst/>
                    </a:prstGeom>
                  </pic:spPr>
                </pic:pic>
              </a:graphicData>
            </a:graphic>
          </wp:inline>
        </w:drawing>
      </w:r>
    </w:p>
    <w:p>
      <w:pPr>
        <w:spacing w:after="240" w:before="60"/>
      </w:pPr>
      <w:r>
        <w:rPr>
          <w:i/>
          <w:iCs/>
          <w:color w:val="666666"/>
          <w:sz w:val="20"/>
          <w:szCs w:val="20"/>
        </w:rPr>
        <w:t xml:space="preserve">Figure 10. XINFO GROUPS on payment.decided shows all three consumers with lag: 0 — every published event has been read by all three independently.</w:t>
      </w:r>
    </w:p>
    <w:p>
      <w:pPr>
        <w:spacing w:before="120"/>
        <w:jc w:val="center"/>
      </w:pPr>
      <w:r>
        <w:drawing>
          <wp:inline distT="0" distB="0" distL="0" distR="0">
            <wp:extent cx="6124575" cy="303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11. The case queue sorted by priority: the ₹45,000 mule case (priority 44,999) ranks above the ₹9,500 account-takeover case (priority 9,500).</w:t>
      </w:r>
    </w:p>
    <w:p>
      <w:pPr>
        <w:spacing w:before="120"/>
        <w:jc w:val="center"/>
      </w:pPr>
      <w:r>
        <w:drawing>
          <wp:inline distT="0" distB="0" distL="0" distR="0">
            <wp:extent cx="6124575" cy="1800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800225"/>
                    </a:xfrm>
                    <a:prstGeom prst="rect">
                      <a:avLst/>
                    </a:prstGeom>
                  </pic:spPr>
                </pic:pic>
              </a:graphicData>
            </a:graphic>
          </wp:inline>
        </w:drawing>
      </w:r>
    </w:p>
    <w:p>
      <w:pPr>
        <w:spacing w:after="240" w:before="60"/>
      </w:pPr>
      <w:r>
        <w:rPr>
          <w:i/>
          <w:iCs/>
          <w:color w:val="666666"/>
          <w:sz w:val="20"/>
          <w:szCs w:val="20"/>
        </w:rPr>
        <w:t xml:space="preserve">Figure 12. After “Confirm fraud”, the case moves to Resolved with verdict CONFIRMED_FRAUD — saved as a label for the next retraining round.</w:t>
      </w:r>
    </w:p>
    <w:p>
      <w:pPr>
        <w:spacing w:before="120"/>
        <w:jc w:val="center"/>
      </w:pPr>
      <w:r>
        <w:drawing>
          <wp:inline distT="0" distB="0" distL="0" distR="0">
            <wp:extent cx="6124575" cy="3038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13. The monitoring tab: decision mix and PSI drift, both computed live from the same event stream.</w:t>
      </w:r>
    </w:p>
    <w:p>
      <w:pPr>
        <w:spacing w:before="120"/>
        <w:jc w:val="center"/>
      </w:pPr>
      <w:r>
        <w:drawing>
          <wp:inline distT="0" distB="0" distL="0" distR="0">
            <wp:extent cx="6124575" cy="5334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33400"/>
                    </a:xfrm>
                    <a:prstGeom prst="rect">
                      <a:avLst/>
                    </a:prstGeom>
                  </pic:spPr>
                </pic:pic>
              </a:graphicData>
            </a:graphic>
          </wp:inline>
        </w:drawing>
      </w:r>
    </w:p>
    <w:p>
      <w:pPr>
        <w:spacing w:after="240" w:before="60"/>
      </w:pPr>
      <w:r>
        <w:rPr>
          <w:i/>
          <w:iCs/>
          <w:color w:val="666666"/>
          <w:sz w:val="20"/>
          <w:szCs w:val="20"/>
        </w:rPr>
        <w:t xml:space="preserve">Figure 14a. After stopping the scoring container, a new payment still returns a response — STEP_UP with degraded: true — instead of hanging or failing.</w:t>
      </w:r>
    </w:p>
    <w:p>
      <w:pPr>
        <w:spacing w:before="120"/>
        <w:jc w:val="center"/>
      </w:pPr>
      <w:r>
        <w:drawing>
          <wp:inline distT="0" distB="0" distL="0" distR="0">
            <wp:extent cx="6124575" cy="1133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1133475"/>
                    </a:xfrm>
                    <a:prstGeom prst="rect">
                      <a:avLst/>
                    </a:prstGeom>
                  </pic:spPr>
                </pic:pic>
              </a:graphicData>
            </a:graphic>
          </wp:inline>
        </w:drawing>
      </w:r>
    </w:p>
    <w:p>
      <w:pPr>
        <w:spacing w:after="240" w:before="60"/>
      </w:pPr>
      <w:r>
        <w:rPr>
          <w:i/>
          <w:iCs/>
          <w:color w:val="666666"/>
          <w:sz w:val="20"/>
          <w:szCs w:val="20"/>
        </w:rPr>
        <w:t xml:space="preserve">Figure 14b. A few seconds after restarting scoring, the gateway's own heartbeat detects it is back up, with no restart of the gateway needed.</w:t>
      </w:r>
    </w:p>
    <w:p>
      <w:pPr>
        <w:spacing w:before="120"/>
        <w:jc w:val="center"/>
      </w:pPr>
      <w:r>
        <w:drawing>
          <wp:inline distT="0" distB="0" distL="0" distR="0">
            <wp:extent cx="6124575" cy="7524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752475"/>
                    </a:xfrm>
                    <a:prstGeom prst="rect">
                      <a:avLst/>
                    </a:prstGeom>
                  </pic:spPr>
                </pic:pic>
              </a:graphicData>
            </a:graphic>
          </wp:inline>
        </w:drawing>
      </w:r>
    </w:p>
    <w:p>
      <w:pPr>
        <w:spacing w:after="240" w:before="60"/>
      </w:pPr>
      <w:r>
        <w:rPr>
          <w:i/>
          <w:iCs/>
          <w:color w:val="666666"/>
          <w:sz w:val="20"/>
          <w:szCs w:val="20"/>
        </w:rPr>
        <w:t xml:space="preserve">Figure 15. docker compose up --scale scoring=2 adds a second scoring container while everything else keeps running — the model-serving part scales independently.</w:t>
      </w:r>
    </w:p>
    <w:p>
      <w:pPr>
        <w:spacing w:before="120"/>
        <w:jc w:val="center"/>
      </w:pPr>
      <w:r>
        <w:drawing>
          <wp:inline distT="0" distB="0" distL="0" distR="0">
            <wp:extent cx="6124575" cy="3114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114675"/>
                    </a:xfrm>
                    <a:prstGeom prst="rect">
                      <a:avLst/>
                    </a:prstGeom>
                  </pic:spPr>
                </pic:pic>
              </a:graphicData>
            </a:graphic>
          </wp:inline>
        </w:drawing>
      </w:r>
    </w:p>
    <w:p>
      <w:pPr>
        <w:spacing w:after="240" w:before="60"/>
      </w:pPr>
      <w:r>
        <w:rPr>
          <w:i/>
          <w:iCs/>
          <w:color w:val="666666"/>
          <w:sz w:val="20"/>
          <w:szCs w:val="20"/>
        </w:rPr>
        <w:t xml:space="preserve">Figure 16. All 33 tests pass, covering data quality, the model-quality gate, explainability, performance, API contracts and the event pipeline.</w:t>
      </w:r>
    </w:p>
    <w:p>
      <w:pPr>
        <w:spacing w:before="120"/>
        <w:jc w:val="center"/>
      </w:pPr>
      <w:r>
        <w:drawing>
          <wp:inline distT="0" distB="0" distL="0" distR="0">
            <wp:extent cx="6124575" cy="6858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685800"/>
                    </a:xfrm>
                    <a:prstGeom prst="rect">
                      <a:avLst/>
                    </a:prstGeom>
                  </pic:spPr>
                </pic:pic>
              </a:graphicData>
            </a:graphic>
          </wp:inline>
        </w:drawing>
      </w:r>
    </w:p>
    <w:p>
      <w:pPr>
        <w:spacing w:after="240" w:before="60"/>
      </w:pPr>
      <w:r>
        <w:rPr>
          <w:i/>
          <w:iCs/>
          <w:color w:val="666666"/>
          <w:sz w:val="20"/>
          <w:szCs w:val="20"/>
        </w:rPr>
        <w:t xml:space="preserve">Figure 17. 2000 requests at 50 concurrent: p95 148.0 ms, p99 212.2 ms — both inside the QA1 target (p95 ≤ 150 ms, p99 ≤ 300 ms).</w:t>
      </w:r>
    </w:p>
    <w:p>
      <w:r>
        <w:br w:type="page"/>
      </w:r>
    </w:p>
    <w:p>
      <w:pPr>
        <w:pStyle w:val="Heading1"/>
        <w:spacing w:after="160" w:before="360"/>
      </w:pPr>
      <w:r>
        <w:t xml:space="preserve">8. Limitations and Future Work</w:t>
      </w:r>
    </w:p>
    <w:p>
      <w:pPr>
        <w:pStyle w:val="ListParagraph"/>
        <w:numPr>
          <w:ilvl w:val="0"/>
          <w:numId w:val="2"/>
        </w:numPr>
        <w:spacing w:after="80"/>
      </w:pPr>
      <w:r>
        <w:t xml:space="preserve">PaySim has no device, geo, or app-behaviour signals that a real UPI deployment would have; the near-separable fraud signal here (balance-draining transfers) is a property of the simulator and may not transfer directly to production data.</w:t>
      </w:r>
    </w:p>
    <w:p>
      <w:pPr>
        <w:pStyle w:val="ListParagraph"/>
        <w:numPr>
          <w:ilvl w:val="0"/>
          <w:numId w:val="2"/>
        </w:numPr>
        <w:spacing w:after="80"/>
      </w:pPr>
      <w:r>
        <w:t xml:space="preserve">The SQLite case store and single-node Redis are demo-scale; a production PSP would use a managed Postgres and a clustered Redis/Kafka.</w:t>
      </w:r>
    </w:p>
    <w:p>
      <w:pPr>
        <w:pStyle w:val="ListParagraph"/>
        <w:numPr>
          <w:ilvl w:val="0"/>
          <w:numId w:val="2"/>
        </w:numPr>
        <w:spacing w:after="80"/>
      </w:pPr>
      <w:r>
        <w:t xml:space="preserve">No shadow or canary deployment for new models — promotion is immediate once the quality gate passes. A real rollout would run the challenger alongside the champion first.</w:t>
      </w:r>
    </w:p>
    <w:p>
      <w:pPr>
        <w:pStyle w:val="ListParagraph"/>
        <w:numPr>
          <w:ilvl w:val="0"/>
          <w:numId w:val="2"/>
        </w:numPr>
        <w:spacing w:after="80"/>
      </w:pPr>
      <w:r>
        <w:t xml:space="preserve">Fairness auditing is limited to “no demographic features used”; a full audit would check for proxy discrimination through behavioural features.</w:t>
      </w:r>
    </w:p>
    <w:p>
      <w:pPr>
        <w:pStyle w:val="ListParagraph"/>
        <w:numPr>
          <w:ilvl w:val="0"/>
          <w:numId w:val="2"/>
        </w:numPr>
        <w:spacing w:after="80"/>
      </w:pPr>
      <w:r>
        <w:t xml:space="preserve">Kubernetes was out of scope; Docker Compose was used throughout, with the architecture designed so a move to Kubernetes would mostly be a deployment-manifest change, not a code change.</w:t>
      </w:r>
    </w:p>
    <w:p>
      <w:pPr>
        <w:pStyle w:val="Heading1"/>
        <w:spacing w:after="160" w:before="360"/>
      </w:pPr>
      <w:r>
        <w:t xml:space="preserve">9. Appendix — Key Source Files</w:t>
      </w:r>
    </w:p>
    <w:p>
      <w:pPr>
        <w:spacing w:after="160" w:line="276"/>
      </w:pPr>
      <w:r>
        <w:t xml:space="preserve">Full source is at https://github.com/biswa13de/seml-g13-fraud-triage. Key files referenced in this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2F5496" w:val="clear"/>
            <w:tcMar>
              <w:top w:type="dxa" w:w="80"/>
              <w:left w:type="dxa" w:w="100"/>
              <w:bottom w:type="dxa" w:w="80"/>
              <w:right w:type="dxa" w:w="100"/>
            </w:tcMar>
          </w:tcPr>
          <w:p>
            <w:pPr>
              <w:jc w:val="left"/>
            </w:pPr>
            <w:r>
              <w:rPr>
                <w:b/>
                <w:bCs/>
                <w:i w:val="false"/>
                <w:iCs w:val="false"/>
                <w:color w:val="FFFFFF"/>
                <w:sz w:val="20"/>
                <w:szCs w:val="20"/>
              </w:rPr>
              <w:t xml:space="preserve">File</w:t>
            </w:r>
          </w:p>
        </w:tc>
        <w:tc>
          <w:tcPr>
            <w:tcW w:type="dxa" w:w="6265"/>
            <w:shd w:fill="2F5496" w:val="clear"/>
            <w:tcMar>
              <w:top w:type="dxa" w:w="80"/>
              <w:left w:type="dxa" w:w="100"/>
              <w:bottom w:type="dxa" w:w="80"/>
              <w:right w:type="dxa" w:w="100"/>
            </w:tcMar>
          </w:tcPr>
          <w:p>
            <w:pPr>
              <w:jc w:val="left"/>
            </w:pPr>
            <w:r>
              <w:rPr>
                <w:b/>
                <w:bCs/>
                <w:i w:val="false"/>
                <w:iCs w:val="false"/>
                <w:color w:val="FFFFFF"/>
                <w:sz w:val="20"/>
                <w:szCs w:val="20"/>
              </w:rPr>
              <w:t xml:space="preserve">Purpose</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common/features.py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The single compute_features() function shared by training and serving</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common/feature_store.py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Online Feature Store pattern (Redis + in-memory backends)</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training/build_features.py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 Preparation View, implemented (Section 3.3)</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training/train.py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3-model MLflow comparison (Section 7.3)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training/select_thresholds.py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Cost-based triage thresholds (Section 7.5)</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training/register.py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Quality gate + Model Registry pattern</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services/scoring/pipeline.py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Pipe-and-filter inference pattern</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services/scoring/explain.py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SHAP reason-code generation (QA3)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services/triage_api/main.py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Gateway: rules, heartbeat, policy, event publish</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services/triage_api/heartbeat.py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Heartbeat tactic (FR9)</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docker-compose.yml</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All 8 services, matching Figure 4</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tests/</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33 tests (Section 7.6)</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13.ipynb</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Dataset, EDA, training comparison, SHAP, live API calls</w:t>
            </w:r>
          </w:p>
        </w:tc>
      </w:tr>
    </w:tbl>
    <w:p>
      <w:pPr>
        <w:pStyle w:val="Heading1"/>
        <w:spacing w:after="160" w:before="360"/>
      </w:pPr>
      <w:r>
        <w:t xml:space="preserve">Group Contribution</w:t>
      </w:r>
    </w:p>
    <w:p>
      <w:pPr>
        <w:spacing w:after="160" w:line="276"/>
      </w:pPr>
      <w:r>
        <w:t xml:space="preserve">The contribution table on the cover page reflects real, verifiable work: commit history on the GitHub repository backs the percentages shown there.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2F5496"/>
      <w:sz w:val="30"/>
      <w:szCs w:val="30"/>
    </w:rPr>
  </w:style>
  <w:style w:type="paragraph" w:styleId="Heading2">
    <w:name w:val="Heading 2"/>
    <w:basedOn w:val="Normal"/>
    <w:next w:val="Normal"/>
    <w:qFormat/>
    <w:pPr>
      <w:spacing w:after="120" w:before="280"/>
    </w:pPr>
    <w:rPr>
      <w:b/>
      <w:bCs/>
      <w:color w:val="2F5496"/>
      <w:sz w:val="25"/>
      <w:szCs w:val="25"/>
    </w:rPr>
  </w:style>
  <w:style w:type="paragraph" w:styleId="Heading3">
    <w:name w:val="Heading 3"/>
    <w:basedOn w:val="Normal"/>
    <w:next w:val="Normal"/>
    <w:qFormat/>
    <w:pPr>
      <w:spacing w:after="100" w:before="200"/>
    </w:pPr>
    <w:rPr>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7bc5499d6971a7d8c497ae78222b1f226d6e57.png"/><Relationship Id="rId8" Type="http://schemas.openxmlformats.org/officeDocument/2006/relationships/image" Target="media/7dccfd5de226833a5697935b57705df31f47764c.png"/><Relationship Id="rId9" Type="http://schemas.openxmlformats.org/officeDocument/2006/relationships/image" Target="media/952bfb5498f2420a74ac28dd7251b2517802f5aa.png"/><Relationship Id="rId10" Type="http://schemas.openxmlformats.org/officeDocument/2006/relationships/image" Target="media/d3c9758ea7e6e1fc6522458d44eecb383620e316.png"/><Relationship Id="rId11" Type="http://schemas.openxmlformats.org/officeDocument/2006/relationships/image" Target="media/9bbf41726be9f628a67b949f54f73edcdbc9e6f4.png"/><Relationship Id="rId12" Type="http://schemas.openxmlformats.org/officeDocument/2006/relationships/image" Target="media/05c9a9a1db7107041deee36608d0f38bf2b09377.png"/><Relationship Id="rId13" Type="http://schemas.openxmlformats.org/officeDocument/2006/relationships/image" Target="media/070ef78b4da75ffaff63b26b1a0fcc86fecef2f9.png"/><Relationship Id="rId14" Type="http://schemas.openxmlformats.org/officeDocument/2006/relationships/image" Target="media/cc51fc775c2c2e085aa022c1ce38b9934424b336.png"/><Relationship Id="rId15" Type="http://schemas.openxmlformats.org/officeDocument/2006/relationships/image" Target="media/35ebff3e5d996a7d8177661e5fb48f4d8e178586.png"/><Relationship Id="rId16" Type="http://schemas.openxmlformats.org/officeDocument/2006/relationships/image" Target="media/83b6dbe73e576da6335a0e8c48854ea0763e6cfe.png"/><Relationship Id="rId17" Type="http://schemas.openxmlformats.org/officeDocument/2006/relationships/image" Target="media/1d2f00d2509b66250e67361843e450b11778136f.png"/><Relationship Id="rId18" Type="http://schemas.openxmlformats.org/officeDocument/2006/relationships/image" Target="media/3e8bdc2167201b43305a0010a3d4fbce67d8ce68.png"/><Relationship Id="rId19" Type="http://schemas.openxmlformats.org/officeDocument/2006/relationships/image" Target="media/60e71ec61b64b2bc4530f2897fa330632c94bc33.png"/><Relationship Id="rId20" Type="http://schemas.openxmlformats.org/officeDocument/2006/relationships/image" Target="media/639ecb60ce730d4e4bc5a052b8a1944e0a93f254.png"/><Relationship Id="rId21" Type="http://schemas.openxmlformats.org/officeDocument/2006/relationships/image" Target="media/e2f1044e61212d1b7961e1cd24e2a43e7ec03c94.png"/><Relationship Id="rId22" Type="http://schemas.openxmlformats.org/officeDocument/2006/relationships/image" Target="media/c12867ab3e685999635a07e5b358c08fcc444f86.png"/><Relationship Id="rId23" Type="http://schemas.openxmlformats.org/officeDocument/2006/relationships/image" Target="media/0c40685e700e56e70557ebbb5b42fb828674a241.png"/><Relationship Id="rId24" Type="http://schemas.openxmlformats.org/officeDocument/2006/relationships/image" Target="media/3934be56032e10a916a48d88dd3e6d4a84d88cc5.png"/><Relationship Id="rId25" Type="http://schemas.openxmlformats.org/officeDocument/2006/relationships/image" Target="media/e95f74b8717f3ea5f9431ad29c3b2553f85b983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2026-10-08T16:22:48.340Z</dcterms:created>
  <dcterms:modified xsi:type="dcterms:W3CDTF">2026-10-08T16:22:48.345Z</dcterms:modified>
</cp:coreProperties>
</file>

<file path=docProps/custom.xml><?xml version="1.0" encoding="utf-8"?>
<Properties xmlns="http://schemas.openxmlformats.org/officeDocument/2006/custom-properties" xmlns:vt="http://schemas.openxmlformats.org/officeDocument/2006/docPropsVTypes"/>
</file>