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fkggl0y17" w:id="0"/>
      <w:bookmarkEnd w:id="0"/>
      <w:r w:rsidDel="00000000" w:rsidR="00000000" w:rsidRPr="00000000">
        <w:rPr>
          <w:rtl w:val="0"/>
        </w:rPr>
        <w:t xml:space="preserve">Master Indian Market Algorithmic Trading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autonomous institutional trading agent built for Indian equity, derivative, and commodity markets (NSE, BSE, MCX). It combines Smart Money Concepts (SMC), Volume Profile, a full technical indicator suite (EMA 9/21, MACD, RSI, VWAP, SuperTrend, Fibonacci, and CPR Pivots), and a Multi-Timeframe (HTF -&gt; MTF -&gt; LTF) Confluence Engine with automated 1st/2nd ITM option execution.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ec0311uii5f" w:id="1"/>
      <w:bookmarkEnd w:id="1"/>
      <w:r w:rsidDel="00000000" w:rsidR="00000000" w:rsidRPr="00000000">
        <w:rPr>
          <w:rtl w:val="0"/>
        </w:rPr>
        <w:t xml:space="preserve">1. Supported Markets &amp; Instruments (55 Total)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Indices</w:t>
      </w:r>
      <w:r w:rsidDel="00000000" w:rsidR="00000000" w:rsidRPr="00000000">
        <w:rPr>
          <w:rtl w:val="0"/>
        </w:rPr>
        <w:t xml:space="preserve">: NIFTY 50 (NSE, lot 75), BANK NIFTY (NSE, lot 30), BSE SENSEX (BSE, lot 20).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MCX Commodities</w:t>
      </w:r>
      <w:r w:rsidDel="00000000" w:rsidR="00000000" w:rsidRPr="00000000">
        <w:rPr>
          <w:rtl w:val="0"/>
        </w:rPr>
        <w:t xml:space="preserve">: CRUDE OIL (100 bbl, step 50), NATURAL GAS (1,250 mmBtu, step 5).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Nifty 50 Constituent Stock Options</w:t>
      </w:r>
      <w:r w:rsidDel="00000000" w:rsidR="00000000" w:rsidRPr="00000000">
        <w:rPr>
          <w:rtl w:val="0"/>
        </w:rPr>
        <w:t xml:space="preserve">: All 50 liquid F&amp;O stocks with official lot sizes and strike steps (Reliance, TCS, HDFC Bank, ICICI Bank, Bharti Airtel, SBIN, L&amp;T, ITC, Tata Motors, M&amp;M, etc.).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fk6vkts27mdk" w:id="2"/>
      <w:bookmarkEnd w:id="2"/>
      <w:r w:rsidDel="00000000" w:rsidR="00000000" w:rsidRPr="00000000">
        <w:rPr>
          <w:rtl w:val="0"/>
        </w:rPr>
        <w:t xml:space="preserve">2. Technical Indicator Suite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Exponential Moving Averages (EMA 9 &amp; EMA 21)</w:t>
      </w:r>
      <w:r w:rsidDel="00000000" w:rsidR="00000000" w:rsidRPr="00000000">
        <w:rPr>
          <w:rtl w:val="0"/>
        </w:rPr>
        <w:t xml:space="preserve">: Trend direction, dynamic trend-following support/resistance, and 9/21 EMA crossover momentum confirmation.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MACD (12, 26, 9)</w:t>
      </w:r>
      <w:r w:rsidDel="00000000" w:rsidR="00000000" w:rsidRPr="00000000">
        <w:rPr>
          <w:rtl w:val="0"/>
        </w:rPr>
        <w:t xml:space="preserve">: Moving Average Convergence Divergence line, signal line, and histogram for momentum expansion and zero-line breakouts.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Strength Index (RSI 14)</w:t>
      </w:r>
      <w:r w:rsidDel="00000000" w:rsidR="00000000" w:rsidRPr="00000000">
        <w:rPr>
          <w:rtl w:val="0"/>
        </w:rPr>
        <w:t xml:space="preserve">: Momentum regime identification (Bullish zone &gt; 58, Bearish zone &lt; 42, center baseline 50).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Volume-Weighted Average Price (VWAP)</w:t>
      </w:r>
      <w:r w:rsidDel="00000000" w:rsidR="00000000" w:rsidRPr="00000000">
        <w:rPr>
          <w:rtl w:val="0"/>
        </w:rPr>
        <w:t xml:space="preserve">: Intraday institutional fair value benchmark.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SuperTrend (10, 3.0)</w:t>
      </w:r>
      <w:r w:rsidDel="00000000" w:rsidR="00000000" w:rsidRPr="00000000">
        <w:rPr>
          <w:rtl w:val="0"/>
        </w:rPr>
        <w:t xml:space="preserve">: ATR-based trend ribbon and trailing volatility band (Green / Red flip).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Fibonacci Retracement Levels</w:t>
      </w:r>
      <w:r w:rsidDel="00000000" w:rsidR="00000000" w:rsidRPr="00000000">
        <w:rPr>
          <w:rtl w:val="0"/>
        </w:rPr>
        <w:t xml:space="preserve">: Automatic swing calculation locating the 0.236, 0.382, </w:t>
      </w:r>
      <w:r w:rsidDel="00000000" w:rsidR="00000000" w:rsidRPr="00000000">
        <w:rPr>
          <w:b w:val="1"/>
          <w:bCs w:val="1"/>
          <w:rtl w:val="0"/>
        </w:rPr>
        <w:t xml:space="preserve">0.500 Equilibrium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0.618 Golden Ratio</w:t>
      </w:r>
      <w:r w:rsidDel="00000000" w:rsidR="00000000" w:rsidRPr="00000000">
        <w:rPr>
          <w:rtl w:val="0"/>
        </w:rPr>
        <w:t xml:space="preserve">, and 0.786 reversal zones.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Pivot Range (CPR) &amp; Classical Pivots</w:t>
      </w:r>
      <w:r w:rsidDel="00000000" w:rsidR="00000000" w:rsidRPr="00000000">
        <w:rPr>
          <w:rtl w:val="0"/>
        </w:rPr>
        <w:t xml:space="preserve">: Top Central (TC), Central Pivot (P), Bottom Central (BC), R1, R2, R3, S1, S2, S3, with automated Narrow CPR (trending day) vs Wide CPR (range day) classification.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vnya2zc557l3" w:id="3"/>
      <w:bookmarkEnd w:id="3"/>
      <w:r w:rsidDel="00000000" w:rsidR="00000000" w:rsidRPr="00000000">
        <w:rPr>
          <w:rtl w:val="0"/>
        </w:rPr>
        <w:t xml:space="preserve">3. Multi-Timeframe Triad Analysis (HTF -&gt; MTF -&gt; LTF)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system enforces strict top-down alignment before routing any order: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HTF (Higher Timeframe - 60m / Daily)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Defines Macro Market Bias.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60m SuperTrend direction, 9/21 EMA trend stack, and Daily CPR position (trading above TC = Bullish Day; below BC = Bearish Day).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MTF (Medium Timeframe - 15m)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Defines Institutional Value Zones &amp; Retracement Structure.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Tests Fibonacci Golden Pocket (0.50 - 0.618 support/resistance), 15m MACD histogram momentum expansion, and VWAP alignment.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LTF (Lower Timeframe - 3m / 5m)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Executes Micro Precision Triggers.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Filters</w:t>
      </w:r>
      <w:r w:rsidDel="00000000" w:rsidR="00000000" w:rsidRPr="00000000">
        <w:rPr>
          <w:rtl w:val="0"/>
        </w:rPr>
        <w:t xml:space="preserve">: SMC Liquidity Sweeps (BSL / SSL), 5 EMA alert candle reversals, LTF SuperTrend confirmation, and 9/21 EMA crossover.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Triad Confluence Score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Evaluates alignment across all three timeframes (0 to 100%).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Only setups scoring $\ge 75%$ trigger automated 1st or 2nd ITM option order routing.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osu94cc6svj" w:id="4"/>
      <w:bookmarkEnd w:id="4"/>
      <w:r w:rsidDel="00000000" w:rsidR="00000000" w:rsidRPr="00000000">
        <w:rPr>
          <w:rtl w:val="0"/>
        </w:rPr>
        <w:t xml:space="preserve">4. High-Delta Strike Selection Principle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Strictly 1st ITM &amp; 2nd ITM</w:t>
      </w:r>
      <w:r w:rsidDel="00000000" w:rsidR="00000000" w:rsidRPr="00000000">
        <w:rPr>
          <w:rtl w:val="0"/>
        </w:rPr>
        <w:t xml:space="preserve">: Eliminates OTM and ATM decay drag.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Calls (BUY CE)</w:t>
      </w:r>
      <w:r w:rsidDel="00000000" w:rsidR="00000000" w:rsidRPr="00000000">
        <w:rPr>
          <w:rtl w:val="0"/>
        </w:rPr>
        <w:t xml:space="preserve">: Strike below spot ($\Delta \approx 0.62$ for 1st ITM, $\Delta \approx 0.72$ for 2nd ITM).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Puts (BUY PE)</w:t>
      </w:r>
      <w:r w:rsidDel="00000000" w:rsidR="00000000" w:rsidRPr="00000000">
        <w:rPr>
          <w:rtl w:val="0"/>
        </w:rPr>
        <w:t xml:space="preserve">: Strike above spot ($\Delta \approx -0.62$ for 1st ITM, $\Delta \approx -0.72$ for 2nd ITM).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Premium Translation</w:t>
      </w:r>
      <w:r w:rsidDel="00000000" w:rsidR="00000000" w:rsidRPr="00000000">
        <w:rPr>
          <w:rtl w:val="0"/>
        </w:rPr>
        <w:t xml:space="preserve">: Translates underlying spot stop-loss points into option premium points using delta sensitivity.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8eqpcbcvgjc" w:id="5"/>
      <w:bookmarkEnd w:id="5"/>
      <w:r w:rsidDel="00000000" w:rsidR="00000000" w:rsidRPr="00000000">
        <w:rPr>
          <w:rtl w:val="0"/>
        </w:rPr>
        <w:t xml:space="preserve">5. Risk Management &amp; Guardrails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Daily Loss Kill Switch</w:t>
      </w:r>
      <w:r w:rsidDel="00000000" w:rsidR="00000000" w:rsidRPr="00000000">
        <w:rPr>
          <w:rtl w:val="0"/>
        </w:rPr>
        <w:t xml:space="preserve">: Automatically freezes trading if session drawdown reaches threshold (e.g., ₹4,000).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Position Sizing</w:t>
      </w:r>
      <w:r w:rsidDel="00000000" w:rsidR="00000000" w:rsidRPr="00000000">
        <w:rPr>
          <w:rtl w:val="0"/>
        </w:rPr>
        <w:t xml:space="preserve">: Sizes contracts dynamically based on per-trade risk allowance (e.g., ₹2,000 per trade).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Trailing Stop Loss</w:t>
      </w:r>
      <w:r w:rsidDel="00000000" w:rsidR="00000000" w:rsidRPr="00000000">
        <w:rPr>
          <w:rtl w:val="0"/>
        </w:rPr>
        <w:t xml:space="preserve">: Automatically trails SL to breakeven (+ buffer) once 1:1 Risk-to-Reward gain is achieved.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u53sfysmo69o" w:id="6"/>
      <w:bookmarkEnd w:id="6"/>
      <w:r w:rsidDel="00000000" w:rsidR="00000000" w:rsidRPr="00000000">
        <w:rPr>
          <w:rtl w:val="0"/>
        </w:rPr>
        <w:t xml:space="preserve">6. Execution &amp; Mobile Push Alerts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yd1jaklv25dd" w:id="7"/>
      <w:bookmarkEnd w:id="7"/>
      <w:r w:rsidDel="00000000" w:rsidR="00000000" w:rsidRPr="00000000">
        <w:rPr>
          <w:rtl w:val="0"/>
        </w:rPr>
        <w:t xml:space="preserve">Local &amp; Demo Execution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Run simulated autonomous session with Multi-Timeframe analysis and mobile alerts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python3 algo_trading_agent.py --demo-session \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--telegram-token "YOUR_TELEGRAM_BOT_TOKEN" \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--telegram-chat-id "YOUR_TELEGRAM_CHAT_ID"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Paper trade on all 50 Nifty stock options (1st ITM)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python3 algo_trading_agent.py --mode paper --segment stock --itm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Paper trade on Indices (Nifty, Bank Nifty, Sensex)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python3 algo_trading_agent.py --mode paper --segment index --capital 100000 --max-loss 4000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ooslchua0va" w:id="8"/>
      <w:bookmarkEnd w:id="8"/>
      <w:r w:rsidDel="00000000" w:rsidR="00000000" w:rsidRPr="00000000">
        <w:rPr>
          <w:rtl w:val="0"/>
        </w:rPr>
        <w:t xml:space="preserve">Google Cloud (24/7 Hosting)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Run one command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Cloud Shell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bash deploy_gcp.sh \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--telegram-token "YOUR_TELEGRAM_BOT_TOKEN" \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--telegram-chat-id "YOUR_TELEGRAM_CHAT_ID"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ell.cloud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