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168127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3563" cy="16812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CSE440: Natural Language Processing II</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Comparative Analysis of RNN Variants for POS Tagging</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305"/>
        <w:tblGridChange w:id="0">
          <w:tblGrid>
            <w:gridCol w:w="2025"/>
            <w:gridCol w:w="43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No: 08, CSE440 Section: 03, Spring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22201604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Priyankan Biswas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22241021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M. Jubair Sami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22299520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Dipto Sumit</w:t>
            </w:r>
          </w:p>
        </w:tc>
      </w:tr>
    </w:tbl>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explores the task of Part-of-Speech (POS) tagging using different recurrent neural network (RNN) architectures. The models implemented include Simple RNN, LSTM, GRU, and BiLSTM. We performed exploratory data analysis on the dataset, preprocessed the input sequences, and designed consistent neural architectures for fair comparison.The data analysis was done in two phases: one without using word2vec and another with word2vec.  Evaluation was based on macro F1-score. Results show that BiLSTM outperforms other variants in most evaluations, indicating the effectiveness of bidirectional context in sequence tagging tasks.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tagging is a foundational problem in natural language processing (NLP), where each word in a sentence is labeled with its appropriate part of speech. In this project, we will assess how different RNN variants perform on the POS tagging task. The goal is to analyze which architecture provides the best trade-off between accuracy and model complexity.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Exploratory Data Analysis (EDA):</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sentences with tokens labeled by their corresponding POS tags. It was split 80:20 into training and testing sets. Key observations include:</w:t>
      </w:r>
    </w:p>
    <w:p w:rsidR="00000000" w:rsidDel="00000000" w:rsidP="00000000" w:rsidRDefault="00000000" w:rsidRPr="00000000" w14:paraId="0000002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dataset contains 19184 sentences. On the other hand, the test dataset contains only 4796 sentences.</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lengths varied widely, typically ranging from 10–30 words, necessitating padding.</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longest sentence in the train dataset consists of 81 tokens(72 words). For the test dataset, it was 67 tokens(62 words).</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42 unique POS tags in train dataset and 41 in test dataset.</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train and test dataset, 'NN' (noun) and 'NNP' (proper noun, singular) were the most frequent among POS tags.</w:t>
      </w:r>
    </w:p>
    <w:p w:rsidR="00000000" w:rsidDel="00000000" w:rsidP="00000000" w:rsidRDefault="00000000" w:rsidRPr="00000000" w14:paraId="00000032">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punctuation percentage in both train and test dataset is more than 10%. </w:t>
        <w:br w:type="textWrapping"/>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sentences’ length, POS tags and punctuations are visualised through histograms.</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4113" cy="3298632"/>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34113" cy="32986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4273" cy="334593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14273" cy="33459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Preprocessing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5"/>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Tokenization and vocabulary creation for both words and tags.</w:t>
      </w:r>
    </w:p>
    <w:p w:rsidR="00000000" w:rsidDel="00000000" w:rsidP="00000000" w:rsidRDefault="00000000" w:rsidRPr="00000000" w14:paraId="00000041">
      <w:pPr>
        <w:numPr>
          <w:ilvl w:val="0"/>
          <w:numId w:val="5"/>
        </w:numPr>
        <w:spacing w:after="0" w:after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Each word/tag is indexed; unknown words are mapped to UNK and sequences are padded to equal length.</w:t>
      </w:r>
    </w:p>
    <w:p w:rsidR="00000000" w:rsidDel="00000000" w:rsidP="00000000" w:rsidRDefault="00000000" w:rsidRPr="00000000" w14:paraId="00000042">
      <w:pPr>
        <w:numPr>
          <w:ilvl w:val="0"/>
          <w:numId w:val="5"/>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training data was further divided for training (80%) and validation (20%). </w:t>
      </w:r>
    </w:p>
    <w:p w:rsidR="00000000" w:rsidDel="00000000" w:rsidP="00000000" w:rsidRDefault="00000000" w:rsidRPr="00000000" w14:paraId="00000043">
      <w:pPr>
        <w:numPr>
          <w:ilvl w:val="0"/>
          <w:numId w:val="5"/>
        </w:numPr>
        <w:spacing w:after="0" w:after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One-hot encoding is used for target sequences to train classification models. </w:t>
      </w:r>
    </w:p>
    <w:p w:rsidR="00000000" w:rsidDel="00000000" w:rsidP="00000000" w:rsidRDefault="00000000" w:rsidRPr="00000000" w14:paraId="00000044">
      <w:pPr>
        <w:numPr>
          <w:ilvl w:val="0"/>
          <w:numId w:val="5"/>
        </w:numPr>
        <w:spacing w:after="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Word2vec was used to encode words into vector embeddings in the second phase.</w:t>
      </w:r>
    </w:p>
    <w:p w:rsidR="00000000" w:rsidDel="00000000" w:rsidP="00000000" w:rsidRDefault="00000000" w:rsidRPr="00000000" w14:paraId="0000004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Model Architectures </w:t>
      </w:r>
    </w:p>
    <w:p w:rsidR="00000000" w:rsidDel="00000000" w:rsidP="00000000" w:rsidRDefault="00000000" w:rsidRPr="00000000" w14:paraId="0000004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using different model architectures and pipelines in different cases to find out the best performing pipelines. Some of the model’s architectures are:</w:t>
      </w:r>
    </w:p>
    <w:p w:rsidR="00000000" w:rsidDel="00000000" w:rsidP="00000000" w:rsidRDefault="00000000" w:rsidRPr="00000000" w14:paraId="00000048">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Layer (case-1): Using key value pairs of POS tags using pythons dictionary.</w:t>
      </w:r>
    </w:p>
    <w:p w:rsidR="00000000" w:rsidDel="00000000" w:rsidP="00000000" w:rsidRDefault="00000000" w:rsidRPr="00000000" w14:paraId="00000049">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Embedding Layer (case-2,3): Transforms words into dense vectors using Word2vec. </w:t>
      </w:r>
    </w:p>
    <w:p w:rsidR="00000000" w:rsidDel="00000000" w:rsidP="00000000" w:rsidRDefault="00000000" w:rsidRPr="00000000" w14:paraId="0000004A">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RNN Variants (case-1,2): Simple RNN, LSTM, GRU, or Bidirectional LSTM (with 1 hidden layer).</w:t>
      </w:r>
    </w:p>
    <w:p w:rsidR="00000000" w:rsidDel="00000000" w:rsidP="00000000" w:rsidRDefault="00000000" w:rsidRPr="00000000" w14:paraId="0000004B">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Variants (case-3): Simple RNN, LSTM, GRU, or Bidirectional LSTM (with 2 hidden layers).</w:t>
      </w:r>
    </w:p>
    <w:p w:rsidR="00000000" w:rsidDel="00000000" w:rsidP="00000000" w:rsidRDefault="00000000" w:rsidRPr="00000000" w14:paraId="0000004C">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Distributed Dense Layer: Applies classification across all time steps.</w:t>
      </w:r>
    </w:p>
    <w:p w:rsidR="00000000" w:rsidDel="00000000" w:rsidP="00000000" w:rsidRDefault="00000000" w:rsidRPr="00000000" w14:paraId="0000004D">
      <w:pPr>
        <w:numPr>
          <w:ilvl w:val="0"/>
          <w:numId w:val="3"/>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model is compiled with </w:t>
      </w:r>
      <w:r w:rsidDel="00000000" w:rsidR="00000000" w:rsidRPr="00000000">
        <w:rPr>
          <w:rFonts w:ascii="Times New Roman" w:cs="Times New Roman" w:eastAsia="Times New Roman" w:hAnsi="Times New Roman"/>
          <w:b w:val="1"/>
          <w:sz w:val="24"/>
          <w:szCs w:val="24"/>
          <w:rtl w:val="0"/>
        </w:rPr>
        <w:t xml:space="preserve">categorical Cross-entropy loss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Adam</w:t>
      </w:r>
      <w:r w:rsidDel="00000000" w:rsidR="00000000" w:rsidRPr="00000000">
        <w:rPr>
          <w:rFonts w:ascii="Times New Roman" w:cs="Times New Roman" w:eastAsia="Times New Roman" w:hAnsi="Times New Roman"/>
          <w:sz w:val="24"/>
          <w:szCs w:val="24"/>
          <w:rtl w:val="0"/>
        </w:rPr>
        <w:t xml:space="preserve"> optimizer and for activation function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is used.</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Training </w:t>
      </w:r>
    </w:p>
    <w:p w:rsidR="00000000" w:rsidDel="00000000" w:rsidP="00000000" w:rsidRDefault="00000000" w:rsidRPr="00000000" w14:paraId="00000050">
      <w:pPr>
        <w:numPr>
          <w:ilvl w:val="0"/>
          <w:numId w:val="6"/>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Hyperparameters were interchanged during every test to obtain the optimum macro F1 score.</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Optimizer: Adam, loss: categorical cross-entropy. </w:t>
      </w:r>
    </w:p>
    <w:p w:rsidR="00000000" w:rsidDel="00000000" w:rsidP="00000000" w:rsidRDefault="00000000" w:rsidRPr="00000000" w14:paraId="00000052">
      <w:pPr>
        <w:numPr>
          <w:ilvl w:val="0"/>
          <w:numId w:val="6"/>
        </w:numPr>
        <w:spacing w:after="24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Training conducted with a validation split to monitor overfitting. </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 was evaluated on the test set using:</w:t>
      </w:r>
    </w:p>
    <w:p w:rsidR="00000000" w:rsidDel="00000000" w:rsidP="00000000" w:rsidRDefault="00000000" w:rsidRPr="00000000" w14:paraId="0000005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57">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 F1-score</w:t>
      </w:r>
    </w:p>
    <w:p w:rsidR="00000000" w:rsidDel="00000000" w:rsidP="00000000" w:rsidRDefault="00000000" w:rsidRPr="00000000" w14:paraId="00000058">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p>
    <w:p w:rsidR="00000000" w:rsidDel="00000000" w:rsidP="00000000" w:rsidRDefault="00000000" w:rsidRPr="00000000" w14:paraId="00000059">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Case-1:</w:t>
      </w:r>
    </w:p>
    <w:p w:rsidR="00000000" w:rsidDel="00000000" w:rsidP="00000000" w:rsidRDefault="00000000" w:rsidRPr="00000000" w14:paraId="0000005A">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preprocessing without word2vec (one hidden layer):</w:t>
      </w:r>
    </w:p>
    <w:tbl>
      <w:tblPr>
        <w:tblStyle w:val="Table2"/>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95"/>
        <w:gridCol w:w="1605"/>
        <w:gridCol w:w="1800"/>
        <w:tblGridChange w:id="0">
          <w:tblGrid>
            <w:gridCol w:w="1800"/>
            <w:gridCol w:w="1995"/>
            <w:gridCol w:w="1605"/>
            <w:gridCol w:w="1800"/>
          </w:tblGrid>
        </w:tblGridChange>
      </w:tblGrid>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variants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hyperparameters</w:t>
              <w:br w:type="textWrapping"/>
              <w:t xml:space="preserve">(comparing macro avg of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RNN</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.954</w:t>
            </w:r>
          </w:p>
        </w:tc>
        <w:tc>
          <w:tcPr>
            <w:vMerge w:val="restart"/>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.985</w:t>
            </w:r>
          </w:p>
        </w:tc>
      </w:tr>
      <w:tr>
        <w:trPr>
          <w:cantSplit w:val="0"/>
          <w:trHeight w:val="440" w:hRule="atLeast"/>
          <w:tblHeader w:val="0"/>
        </w:trPr>
        <w:tc>
          <w:tcPr>
            <w:vMerge w:val="continue"/>
          </w:tcPr>
          <w:p w:rsidR="00000000" w:rsidDel="00000000" w:rsidP="00000000" w:rsidRDefault="00000000" w:rsidRPr="00000000" w14:paraId="0000006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size:64</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7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7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.01</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7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.2</w:t>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5cea8"/>
                <w:sz w:val="21"/>
                <w:szCs w:val="21"/>
              </w:rPr>
            </w:pPr>
            <w:r w:rsidDel="00000000" w:rsidR="00000000" w:rsidRPr="00000000">
              <w:rPr>
                <w:rFonts w:ascii="Times New Roman" w:cs="Times New Roman" w:eastAsia="Times New Roman" w:hAnsi="Times New Roman"/>
                <w:sz w:val="24"/>
                <w:szCs w:val="24"/>
                <w:rtl w:val="0"/>
              </w:rPr>
              <w:t xml:space="preserve">lr: .01</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Case-2:</w:t>
      </w:r>
    </w:p>
    <w:p w:rsidR="00000000" w:rsidDel="00000000" w:rsidP="00000000" w:rsidRDefault="00000000" w:rsidRPr="00000000" w14:paraId="000000D0">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preprocessing using word2vec (one hidden layer):</w:t>
      </w:r>
    </w:p>
    <w:tbl>
      <w:tblPr>
        <w:tblStyle w:val="Table3"/>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95"/>
        <w:gridCol w:w="1605"/>
        <w:gridCol w:w="1800"/>
        <w:tblGridChange w:id="0">
          <w:tblGrid>
            <w:gridCol w:w="1800"/>
            <w:gridCol w:w="1995"/>
            <w:gridCol w:w="1605"/>
            <w:gridCol w:w="1800"/>
          </w:tblGrid>
        </w:tblGridChange>
      </w:tblGrid>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variants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Hyperparameters</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macro avg of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440" w:hRule="atLeast"/>
          <w:tblHeader w:val="0"/>
        </w:trPr>
        <w:tc>
          <w:tcPr>
            <w:vMerge w:val="restart"/>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RNN</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epoch:50</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vMerge w:val="restart"/>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w:t>
            </w:r>
          </w:p>
        </w:tc>
      </w:tr>
      <w:tr>
        <w:trPr>
          <w:cantSplit w:val="0"/>
          <w:trHeight w:val="440" w:hRule="atLeast"/>
          <w:tblHeader w:val="0"/>
        </w:trPr>
        <w:tc>
          <w:tcPr>
            <w:vMerge w:val="continue"/>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size:32</w:t>
            </w:r>
          </w:p>
        </w:tc>
        <w:tc>
          <w:tcPr>
            <w:vMerge w:val="continue"/>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.001</w:t>
            </w:r>
          </w:p>
        </w:tc>
        <w:tc>
          <w:tcPr>
            <w:vMerge w:val="continue"/>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0.2</w:t>
            </w:r>
          </w:p>
        </w:tc>
        <w:tc>
          <w:tcPr>
            <w:vMerge w:val="continue"/>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units:64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.001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However, we also ran a model with 10 epochs using two hidden layers(Case-3) of all the RNN variants, but the performance decreased compared to the single hidden layer trained with the same number of epochs.Thats why we disregarded the results.</w:t>
      </w:r>
    </w:p>
    <w:p w:rsidR="00000000" w:rsidDel="00000000" w:rsidP="00000000" w:rsidRDefault="00000000" w:rsidRPr="00000000" w14:paraId="0000014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of F1 score and Accuracy comparison between each variant of RNN(without Word2Vec and with macro average):</w:t>
      </w:r>
    </w:p>
    <w:p w:rsidR="00000000" w:rsidDel="00000000" w:rsidP="00000000" w:rsidRDefault="00000000" w:rsidRPr="00000000" w14:paraId="0000014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Epochs:</w:t>
      </w:r>
    </w:p>
    <w:p w:rsidR="00000000" w:rsidDel="00000000" w:rsidP="00000000" w:rsidRDefault="00000000" w:rsidRPr="00000000" w14:paraId="0000014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0361" cy="289189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80361" cy="289189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Epochs:</w:t>
      </w:r>
    </w:p>
    <w:p w:rsidR="00000000" w:rsidDel="00000000" w:rsidP="00000000" w:rsidRDefault="00000000" w:rsidRPr="00000000" w14:paraId="0000014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10138" cy="3102106"/>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0138" cy="3102106"/>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the model trained without Word2Vec embeddings:</w:t>
      </w:r>
      <w:r w:rsidDel="00000000" w:rsidR="00000000" w:rsidRPr="00000000">
        <w:rPr>
          <w:rtl w:val="0"/>
        </w:rPr>
      </w:r>
    </w:p>
    <w:p w:rsidR="00000000" w:rsidDel="00000000" w:rsidP="00000000" w:rsidRDefault="00000000" w:rsidRPr="00000000" w14:paraId="0000014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model(without using Word2Vec for embeddings) was trained and tested four times for all four variants of RNN using different hyperparameters. A steady growth was observed up to 20 epochs. But, the macro F1 score declined when it was evaluated after training for 30 epochs. Therefore, it can be stated that overfitting occurred in the last case. Moreover, BiLSTM did not achieve the best macro F1 score for every test. In some tests, GRU outperformed BiLSTM. </w:t>
      </w:r>
    </w:p>
    <w:p w:rsidR="00000000" w:rsidDel="00000000" w:rsidP="00000000" w:rsidRDefault="00000000" w:rsidRPr="00000000" w14:paraId="0000014A">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of F1 score and Accuracy comparison between each variant of RNN(with Word2Vec and macro avg.):</w:t>
      </w:r>
    </w:p>
    <w:p w:rsidR="00000000" w:rsidDel="00000000" w:rsidP="00000000" w:rsidRDefault="00000000" w:rsidRPr="00000000" w14:paraId="0000014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2088" cy="248499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72088" cy="248499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C">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model trained with Word2Vec embeddings:</w:t>
      </w:r>
    </w:p>
    <w:p w:rsidR="00000000" w:rsidDel="00000000" w:rsidP="00000000" w:rsidRDefault="00000000" w:rsidRPr="00000000" w14:paraId="0000014D">
      <w:pPr>
        <w:numPr>
          <w:ilvl w:val="0"/>
          <w:numId w:val="2"/>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BiLSTM</w:t>
      </w:r>
      <w:r w:rsidDel="00000000" w:rsidR="00000000" w:rsidRPr="00000000">
        <w:rPr>
          <w:rFonts w:ascii="Times New Roman" w:cs="Times New Roman" w:eastAsia="Times New Roman" w:hAnsi="Times New Roman"/>
          <w:sz w:val="24"/>
          <w:szCs w:val="24"/>
          <w:rtl w:val="0"/>
        </w:rPr>
        <w:t xml:space="preserve"> achieved the highest macro F1 score.</w:t>
      </w:r>
    </w:p>
    <w:p w:rsidR="00000000" w:rsidDel="00000000" w:rsidP="00000000" w:rsidRDefault="00000000" w:rsidRPr="00000000" w14:paraId="0000014E">
      <w:pPr>
        <w:numPr>
          <w:ilvl w:val="0"/>
          <w:numId w:val="2"/>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LSTM and GRU</w:t>
      </w:r>
      <w:r w:rsidDel="00000000" w:rsidR="00000000" w:rsidRPr="00000000">
        <w:rPr>
          <w:rFonts w:ascii="Times New Roman" w:cs="Times New Roman" w:eastAsia="Times New Roman" w:hAnsi="Times New Roman"/>
          <w:sz w:val="24"/>
          <w:szCs w:val="24"/>
          <w:rtl w:val="0"/>
        </w:rPr>
        <w:t xml:space="preserve"> performed similarly.</w:t>
      </w:r>
    </w:p>
    <w:p w:rsidR="00000000" w:rsidDel="00000000" w:rsidP="00000000" w:rsidRDefault="00000000" w:rsidRPr="00000000" w14:paraId="0000014F">
      <w:pPr>
        <w:numPr>
          <w:ilvl w:val="0"/>
          <w:numId w:val="2"/>
        </w:numPr>
        <w:spacing w:after="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RNN</w:t>
      </w:r>
      <w:r w:rsidDel="00000000" w:rsidR="00000000" w:rsidRPr="00000000">
        <w:rPr>
          <w:rFonts w:ascii="Times New Roman" w:cs="Times New Roman" w:eastAsia="Times New Roman" w:hAnsi="Times New Roman"/>
          <w:sz w:val="24"/>
          <w:szCs w:val="24"/>
          <w:rtl w:val="0"/>
        </w:rPr>
        <w:t xml:space="preserve"> performed inconsistently during every evaluation. </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of confusion matrices further illustrated the superiority of BiLSTM. When examining using Word2vec, almost all the RNN variants performed better while increasing the number of epochs.</w:t>
      </w:r>
    </w:p>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that BiLSTM consistently outperformed other models in POS tagging across all phases and modifications. When word2vec was not used, we got the best F1 score for each variant of RNN using 20 epochs. After that, a case of overfitting was observed for 30 epochs. On the other hand, using Word2Vec embeddings gave an upward trajectory of F1 score with the increasing number of epochs. 50 epochs gave us the best outcome for every variant of RNN when word2vec is used. Moreover, the macro F1 score was used for comparisons as it showed better handling of class imbalance than weighted averages. The main limitation we faced during this analysis was the imbalanced POS tag distribution and the availability of time to run with even more epochs. If sufficient time was available, the best possible outcome for the phase of training with word2vec embedding vectors could have been achieved by increasing the number of epochs even more. If we had been allowed to incorporate pre-trained embeddings like BERT, the best possible outcome could have been attained easily. </w:t>
      </w:r>
    </w:p>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br w:type="textWrapping"/>
        <w:t xml:space="preserve"> [1] F. Chollet, </w:t>
      </w:r>
      <w:r w:rsidDel="00000000" w:rsidR="00000000" w:rsidRPr="00000000">
        <w:rPr>
          <w:rFonts w:ascii="Times New Roman" w:cs="Times New Roman" w:eastAsia="Times New Roman" w:hAnsi="Times New Roman"/>
          <w:i w:val="1"/>
          <w:sz w:val="24"/>
          <w:szCs w:val="24"/>
          <w:rtl w:val="0"/>
        </w:rPr>
        <w:t xml:space="preserve">Keras Documentation</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https://keras.io</w:t>
          <w:br w:type="textWrapping"/>
        </w:r>
      </w:hyperlink>
      <w:r w:rsidDel="00000000" w:rsidR="00000000" w:rsidRPr="00000000">
        <w:rPr>
          <w:rFonts w:ascii="Times New Roman" w:cs="Times New Roman" w:eastAsia="Times New Roman" w:hAnsi="Times New Roman"/>
          <w:sz w:val="24"/>
          <w:szCs w:val="24"/>
          <w:rtl w:val="0"/>
        </w:rPr>
        <w:t xml:space="preserve"> [2] Scikit-learn Developers, </w:t>
      </w:r>
      <w:r w:rsidDel="00000000" w:rsidR="00000000" w:rsidRPr="00000000">
        <w:rPr>
          <w:rFonts w:ascii="Times New Roman" w:cs="Times New Roman" w:eastAsia="Times New Roman" w:hAnsi="Times New Roman"/>
          <w:i w:val="1"/>
          <w:sz w:val="24"/>
          <w:szCs w:val="24"/>
          <w:rtl w:val="0"/>
        </w:rPr>
        <w:t xml:space="preserve">scikit-learn: Machine Learning in Python</w:t>
      </w:r>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https://scikit-learn.org</w:t>
          <w:br w:type="textWrapping"/>
        </w:r>
      </w:hyperlink>
      <w:r w:rsidDel="00000000" w:rsidR="00000000" w:rsidRPr="00000000">
        <w:rPr>
          <w:rFonts w:ascii="Times New Roman" w:cs="Times New Roman" w:eastAsia="Times New Roman" w:hAnsi="Times New Roman"/>
          <w:sz w:val="24"/>
          <w:szCs w:val="24"/>
          <w:rtl w:val="0"/>
        </w:rPr>
        <w:t xml:space="preserve"> [3] Matplotlib, Seaborn – Python visualization libraries used for plots.</w:t>
      </w:r>
    </w:p>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keras.io/" TargetMode="External"/><Relationship Id="rId14" Type="http://schemas.openxmlformats.org/officeDocument/2006/relationships/hyperlink" Target="https://keras.io/" TargetMode="External"/><Relationship Id="rId17" Type="http://schemas.openxmlformats.org/officeDocument/2006/relationships/hyperlink" Target="https://scikit-learn.org/" TargetMode="External"/><Relationship Id="rId16"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