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CTO Handoff Package — Checklist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CCE0F5"/>
                <w:sz w:val="22"/>
                <w:szCs w:val="22"/>
              </w:rPr>
              <w:t xml:space="preserve">Market Signal Scoring Tune — LaunchHouse Events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AACBE8"/>
                <w:sz w:val="18"/>
                <w:szCs w:val="18"/>
              </w:rPr>
              <w:t xml:space="preserve">Version: market_signals_v2_2026_05   |   May 2026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3E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This is a scoring, query, prompt, and personalization-hook tuning project. It is not a platform rebuild.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 Package Files Included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1800"/>
        <w:gridCol w:w="2460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Should Read</w:t>
            </w:r>
          </w:p>
        </w:tc>
        <w:tc>
          <w:tcPr>
            <w:tcW w:type="dxa" w:w="2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in Package</w:t>
            </w:r>
          </w:p>
        </w:tc>
      </w:tr>
      <w:tr>
        <w:trPr>
          <w:tblHeader w:val="false"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20" w:before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Market Signal Scoring Tune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CTO Implementation Handoff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implementation document. Contains scoring weights, agent instruction blocks, ResearchAgent queries, EnrichmentAgent schema, ScoringAgent rules and caps, PersonalizationAgent hooks, rollout phases, QA test cases, and acceptance criteria.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CTO and engineering team. Read first and in full.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PRIMARY — implement from this document</w:t>
            </w:r>
          </w:p>
        </w:tc>
      </w:tr>
      <w:tr>
        <w:trPr>
          <w:tblHeader w:val="false"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20" w:before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Market Signal Scoring Tune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Signal Library Appendix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Reference library for implementation. Contains job-title lists (Tiers 1–4), career source priority, Cvent Certified keywords, event program dictionary, incentive trip keywords, Boolean query templates, JSON/JSONB schema examples, and scoring interpretation tables.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Engineers implementing ResearchAgent, EnrichmentAgent, and ScoringAgent updates. Use alongside Document 1.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APPENDIX — use during implementation</w:t>
            </w:r>
          </w:p>
        </w:tc>
      </w:tr>
      <w:tr>
        <w:trPr>
          <w:tblHeader w:val="false"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20" w:before="5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LaunchHouse_Market_Signals_Lead_Scoring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Report_v2_CTO_Handoff.pdf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Original source document. Contains the full strategic rationale, v2 signal logic, and all reference libraries that Documents 1 and 2 were built from.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CTO or founder — only if deeper business context or source validation is needed.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SOURCE REFERENCE — not required to implement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 Recommended CTO Reading Order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Get From It</w:t>
            </w:r>
          </w:p>
        </w:tc>
      </w:tr>
      <w:tr>
        <w:trPr>
          <w:tblHeader w:val="false"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CTO Implementation Handoff (Document 1)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 in full first. This is the only document the engineering team needs to begin implementation. It contains the objective, non-goals, scoring model, all agent instruction blocks, rollout phases, QA test cases, and acceptance criteria.</w:t>
            </w:r>
          </w:p>
        </w:tc>
      </w:tr>
      <w:tr>
        <w:trPr>
          <w:tblHeader w:val="false"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Signal Library Appendix (Document 2)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 this alongside Document 1 when writing or updating ResearchAgent queries, EnrichmentAgent extraction prompts, ScoringAgent signal logic, and PersonalizationAgent hooks. It holds the long keyword libraries and title lists that would clutter Document 1.</w:t>
            </w:r>
          </w:p>
        </w:tc>
      </w:tr>
      <w:tr>
        <w:trPr>
          <w:tblHeader w:val="false"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Source PDF (reference only)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Use only if you need to verify a specific recommendation against the original source, review the strategic rationale behind a signal, or validate a term that does not appear in Documents 1 or 2.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 What to Implement First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These are the five required changes. All five are prompt, query, weight, and config changes. None require new tables or schema migrations.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400"/>
        <w:gridCol w:w="3360"/>
        <w:gridCol w:w="3300"/>
      </w:tblGrid>
      <w:tr>
        <w:trPr>
          <w:tblHeader/>
        </w:trPr>
        <w:tc>
          <w:tcPr>
            <w:tcW w:type="dxa" w:w="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Update</w:t>
            </w:r>
          </w:p>
        </w:tc>
        <w:tc>
          <w:tcPr>
            <w:tcW w:type="dxa" w:w="3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Find the Detail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Updated scoring weights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Replace the old 10-signal scoring model with the v2 8-signal model. Update the ScoringAgent prompt or config. lead_scores.signal_scores stays JSONB — no migration needed.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 1 — Sections 3 and 7 (scoring weights + ScoringAgent instruction block)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ResearchAgent query additions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job-signal, ATS-domain, Cvent Certified, event-program, and MarTech queries. No new data provider or pipeline change needed.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 1 — Section 5. Document 2 — Section 9 (copy-paste query templates) and Section 5 (source priority).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EnrichmentAgent extraction updates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Ask the EnrichmentAgent to extract event_hiring_signals, program_pattern_signals, cvent_certified_profile_signal, and cvent_complexity_signals into existing enrichment_data.data JSONB. Add optional Pydantic fields only if strict schema validation blocks it — no migration required.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 1 — Section 6. Document 2 — Sections 2–4 (title libraries) and Section 12 (JSON schema).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ScoringAgent rules and caps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Apply v2 signal weights, hard score caps (45 / 65 / 70), evidence-quality controls, and tier definitions. Implement as prompt rules first; deterministic post-processing is optional.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 1 — Sections 7 and 8 (ScoringAgent block + caps). Document 2 — Sections 10–11 (scoring interpretation) and Section 13 (source confidence rules).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PersonalizationAgent hook updates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Pass the recommended_template_driver and primary signal driver to the PersonalizationAgent. Route to T8 (build scoping), T7 (rush), T6 (capacity-led), or T1 (fit-based) based on the top signal. Use existing ai_insights and message.personalization_hooks fields.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 1 — Section 9 (PersonalizationAgent hooks + routing). Document 2 — Section 12 (recommended_template_driver field).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 What Is Optional or Future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Do not implement these in this tuning pass. They are either explicitly excluded from scope or belong to a separate future initiative.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Is Out of Scope Now</w:t>
            </w:r>
          </w:p>
        </w:tc>
      </w:tr>
      <w:tr>
        <w:trPr>
          <w:tblHeader w:val="false"/>
        </w:trP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New database tables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signal data fits into existing enrichment_data.data, lead_scores.signal_scores, and ai_insights.content JSONB fields. No new tables are needed or proposed.</w:t>
            </w:r>
          </w:p>
        </w:tc>
      </w:tr>
      <w:tr>
        <w:trPr>
          <w:tblHeader w:val="false"/>
        </w:trP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Schema migrations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 Pydantic field additions are code-only changes with default=None. They do not require a migration. If the current schema accepts flexible JSONB keys, no code change is needed either.</w:t>
            </w:r>
          </w:p>
        </w:tc>
      </w:tr>
      <w:tr>
        <w:trPr>
          <w:tblHeader w:val="false"/>
        </w:trP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New pipeline workers, queues, or orchestration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existing ResearchAgent → EnrichmentAgent → ScoringAgent → PersonalizationAgent pipeline is preserved as-is. No new workers or queues are introduced.</w:t>
            </w:r>
          </w:p>
        </w:tc>
      </w:tr>
      <w:tr>
        <w:trPr>
          <w:tblHeader w:val="false"/>
        </w:trP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New campaign templates or template system rebuild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T1–T17 template system is not changed. Only the routing logic (which template is selected based on signal driver) is updated.</w:t>
            </w:r>
          </w:p>
        </w:tc>
      </w:tr>
      <w:tr>
        <w:trPr>
          <w:tblHeader w:val="false"/>
        </w:trP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Advanced reporting dashboards or filtering UI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 of scope for this pass. Signal data is stored in JSONB for future reporting use, but no dashboard or UI work is included.</w:t>
            </w:r>
          </w:p>
        </w:tc>
      </w:tr>
      <w:tr>
        <w:trPr>
          <w:tblHeader w:val="false"/>
        </w:trP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Direct Cvent API integration or event calendar sync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system uses web research (Tavily / Firecrawl / public search) to discover event signals. Direct API connections are a future enhancement, not part of this tune.</w:t>
            </w:r>
          </w:p>
        </w:tc>
      </w:tr>
      <w:tr>
        <w:trPr>
          <w:tblHeader w:val="false"/>
        </w:trP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Europe/global job-signal sources (ESCO, EURES)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This version of the signal library is scoped to USA and Canada only. Europe and other regions are intentionally deferred.</w:t>
            </w:r>
          </w:p>
        </w:tc>
      </w:tr>
      <w:tr>
        <w:trPr>
          <w:tblHeader w:val="false"/>
        </w:trP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Email delivery system changes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SendGrid delivery, campaign lifecycle, and template content are not in scope. Only the signal data and routing input to the PersonalizationAgent is updated.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 Core Implementation Guardrail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D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This is a scoring, query, prompt, and personalization-hook tuning project. It is not a platform rebuild.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0"/>
                <w:szCs w:val="1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The fastest and safest path to shipping v2 is to update prompts, score weights, source queries, and evidence extraction logic — while leaving the existing pipeline, database schema, campaign engine, and email delivery system untouched.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 in scope — do this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 of scope — do not do this</w:t>
            </w:r>
          </w:p>
        </w:tc>
      </w:tr>
      <w:tr>
        <w:trPr>
          <w:tblHeader w:val="false"/>
        </w:trP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Update ScoringAgent prompt with v2 8-signal weights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Redesign the scoring pipeline or add a new scoring service</w:t>
            </w:r>
          </w:p>
        </w:tc>
      </w:tr>
      <w:tr>
        <w:trPr>
          <w:tblHeader w:val="false"/>
        </w:trP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ResearchAgent query templates and ATS domain patterns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a new data provider or external API integration</w:t>
            </w:r>
          </w:p>
        </w:tc>
      </w:tr>
      <w:tr>
        <w:trPr>
          <w:tblHeader w:val="false"/>
        </w:trP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Update EnrichmentAgent to extract structured signal JSON into existing JSONB fields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 new database tables or run schema migrations</w:t>
            </w:r>
          </w:p>
        </w:tc>
      </w:tr>
      <w:tr>
        <w:trPr>
          <w:tblHeader w:val="false"/>
        </w:trP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Pass recommended_template_driver to PersonalizationAgent from existing fields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Rebuild the campaign template system or email delivery pipeline</w:t>
            </w:r>
          </w:p>
        </w:tc>
      </w:tr>
      <w:tr>
        <w:trPr>
          <w:tblHeader w:val="false"/>
        </w:trP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optional Pydantic fields with default=None if strict validation requires it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Rebuild the lead enrichment or campaign lifecycle architecture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 Final Handoff Note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Hi — attached is the LaunchHouse Events v2 scoring signal package. Here is what it includes and what I need from you.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8"/>
                <w:szCs w:val="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Document 1 (CTO Implementation Handoff) is the primary document. It has everything the engineering team needs to implement the scoring tune: updated signal weights, agent instruction blocks for ResearchAgent, EnrichmentAgent, ScoringAgent, and PersonalizationAgent, rollout phases with expected code impact per phase, QA test cases, and acceptance criteria. Start here.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8"/>
                <w:szCs w:val="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Document 2 (Signal Library Appendix) is the reference library. It holds the long keyword lists, job-title libraries, event program dictionary, Boolean query templates, and JSON schema examples that support Document 1. Engineers should have it open alongside Document 1 during implementation.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8"/>
                <w:szCs w:val="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 source PDF is available for reference if you need to verify a recommendation or review the business rationale behind a signal, but you do not need to read it to implement.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8"/>
                <w:szCs w:val="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I need from you: Please review Document 1 first. The implementation is designed to be minimum-change — it is a prompt, query, and scoring-rule tuning pass, not an architecture project. I would like the five changes in Section 3 of this checklist completed in the order listed. Sections 4 of this checklist is everything that is explicitly out of scope for this pass.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8"/>
                <w:szCs w:val="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Let me know if anything in Document 1 needs clarification before you begin.</w:t>
            </w:r>
          </w:p>
        </w:tc>
      </w:tr>
    </w:tbl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7"/>
          <w:szCs w:val="17"/>
        </w:rPr>
        <w:t xml:space="preserve">Package version: market_signals_v2_2026_05   |   LaunchHouse Events   |   May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80"/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spacing w:after="100" w:before="0"/>
    </w:pPr>
    <w:r>
      <w:rPr>
        <w:rFonts w:ascii="Arial" w:cs="Arial" w:eastAsia="Arial" w:hAnsi="Arial"/>
        <w:color w:val="555555"/>
        <w:sz w:val="16"/>
        <w:szCs w:val="16"/>
      </w:rPr>
      <w:t xml:space="preserve">LaunchHouse Events  |  CTO Handoff Package Checklist  |  market_signals_v2_2026_05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2026-05-15T18:25:07.257Z</dcterms:created>
  <dcterms:modified xsi:type="dcterms:W3CDTF">2026-05-15T18:25:07.258Z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