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92BBF" w14:textId="77777777" w:rsidR="00471BC7" w:rsidRDefault="00471BC7" w:rsidP="00471BC7">
      <w:pPr>
        <w:jc w:val="center"/>
        <w:rPr>
          <w:rFonts w:ascii="Times New Roman" w:hAnsi="Times New Roman" w:cs="Times New Roman"/>
          <w:b/>
          <w:bCs/>
          <w:sz w:val="24"/>
          <w:szCs w:val="24"/>
          <w:u w:val="single"/>
        </w:rPr>
      </w:pPr>
      <w:r w:rsidRPr="000C6F7E">
        <w:rPr>
          <w:rFonts w:ascii="Times New Roman" w:hAnsi="Times New Roman" w:cs="Times New Roman"/>
          <w:b/>
          <w:bCs/>
          <w:sz w:val="24"/>
          <w:szCs w:val="24"/>
          <w:u w:val="single"/>
        </w:rPr>
        <w:t>INSTITUTIONAL CAPTURE OF SOCIAL MEDIA ALGORITHMS: THE KASHMIR CASE AND THE EMERGENCE OF A “NATIONAL” PANOPTICON</w:t>
      </w:r>
    </w:p>
    <w:p w14:paraId="4D0349F4" w14:textId="784AE30C" w:rsidR="00471BC7" w:rsidRDefault="00471BC7" w:rsidP="00471BC7">
      <w:pPr>
        <w:jc w:val="center"/>
        <w:rPr>
          <w:rFonts w:ascii="Times New Roman" w:hAnsi="Times New Roman" w:cs="Times New Roman"/>
          <w:i/>
          <w:iCs/>
          <w:sz w:val="28"/>
          <w:szCs w:val="28"/>
        </w:rPr>
      </w:pPr>
      <w:r w:rsidRPr="003E628A">
        <w:rPr>
          <w:rFonts w:ascii="Times New Roman" w:hAnsi="Times New Roman" w:cs="Times New Roman"/>
          <w:i/>
          <w:iCs/>
          <w:sz w:val="28"/>
          <w:szCs w:val="28"/>
        </w:rPr>
        <w:t>Jitendra Kumar</w:t>
      </w:r>
      <w:r>
        <w:rPr>
          <w:rFonts w:ascii="Times New Roman" w:hAnsi="Times New Roman" w:cs="Times New Roman"/>
          <w:i/>
          <w:iCs/>
          <w:sz w:val="28"/>
          <w:szCs w:val="28"/>
        </w:rPr>
        <w:t xml:space="preserve">, </w:t>
      </w:r>
      <w:r w:rsidRPr="003E628A">
        <w:rPr>
          <w:rFonts w:ascii="Times New Roman" w:hAnsi="Times New Roman" w:cs="Times New Roman"/>
          <w:i/>
          <w:iCs/>
          <w:sz w:val="28"/>
          <w:szCs w:val="28"/>
        </w:rPr>
        <w:t>UG II</w:t>
      </w:r>
    </w:p>
    <w:p w14:paraId="6A50A325" w14:textId="77777777" w:rsidR="00471BC7" w:rsidRDefault="00471BC7" w:rsidP="00471BC7">
      <w:pPr>
        <w:jc w:val="center"/>
        <w:rPr>
          <w:rFonts w:ascii="Times New Roman" w:hAnsi="Times New Roman" w:cs="Times New Roman"/>
          <w:b/>
          <w:bCs/>
          <w:sz w:val="24"/>
          <w:szCs w:val="24"/>
          <w:u w:val="single"/>
        </w:rPr>
      </w:pPr>
    </w:p>
    <w:p w14:paraId="71B70E44" w14:textId="77777777" w:rsidR="00471BC7" w:rsidRPr="000C6F7E" w:rsidRDefault="00471BC7" w:rsidP="00471BC7">
      <w:pPr>
        <w:jc w:val="center"/>
        <w:rPr>
          <w:rFonts w:ascii="Times New Roman" w:hAnsi="Times New Roman" w:cs="Times New Roman"/>
          <w:b/>
          <w:bCs/>
          <w:sz w:val="24"/>
          <w:szCs w:val="24"/>
          <w:u w:val="single"/>
        </w:rPr>
      </w:pPr>
    </w:p>
    <w:p w14:paraId="2B4FF157" w14:textId="77777777" w:rsidR="00471BC7" w:rsidRPr="00401E05" w:rsidRDefault="00471BC7" w:rsidP="00471BC7">
      <w:pPr>
        <w:rPr>
          <w:rFonts w:ascii="Times New Roman" w:hAnsi="Times New Roman" w:cs="Times New Roman"/>
          <w:i/>
          <w:iCs/>
          <w:szCs w:val="24"/>
        </w:rPr>
      </w:pPr>
      <w:r w:rsidRPr="00401E05">
        <w:rPr>
          <w:rFonts w:ascii="Times New Roman" w:hAnsi="Times New Roman" w:cs="Times New Roman"/>
          <w:b/>
          <w:bCs/>
          <w:szCs w:val="24"/>
        </w:rPr>
        <w:t xml:space="preserve">Keywords: </w:t>
      </w:r>
      <w:r w:rsidRPr="00401E05">
        <w:rPr>
          <w:rFonts w:ascii="Times New Roman" w:hAnsi="Times New Roman" w:cs="Times New Roman"/>
          <w:i/>
          <w:iCs/>
          <w:szCs w:val="24"/>
        </w:rPr>
        <w:t>Digital Surveillance, Destruction of the Public Realm, Totenstille, Exercise of Biopower, Ultra Vires, and the National Panopticon</w:t>
      </w:r>
    </w:p>
    <w:p w14:paraId="3817408D" w14:textId="77777777" w:rsidR="00471BC7" w:rsidRDefault="00471BC7" w:rsidP="00471BC7">
      <w:pPr>
        <w:rPr>
          <w:rFonts w:ascii="Times New Roman" w:hAnsi="Times New Roman" w:cs="Times New Roman"/>
          <w:i/>
          <w:iCs/>
          <w:sz w:val="28"/>
          <w:szCs w:val="28"/>
        </w:rPr>
      </w:pPr>
    </w:p>
    <w:p w14:paraId="60FAE9B6" w14:textId="6BF52EF4" w:rsidR="00471BC7" w:rsidRPr="00C23103" w:rsidRDefault="00471BC7" w:rsidP="00471BC7">
      <w:pPr>
        <w:rPr>
          <w:rFonts w:ascii="Times New Roman" w:hAnsi="Times New Roman" w:cs="Times New Roman"/>
          <w:b/>
          <w:bCs/>
          <w:i/>
          <w:iCs/>
          <w:szCs w:val="24"/>
        </w:rPr>
      </w:pPr>
      <w:r w:rsidRPr="00C23103">
        <w:rPr>
          <w:rFonts w:ascii="Times New Roman" w:hAnsi="Times New Roman" w:cs="Times New Roman"/>
          <w:b/>
          <w:bCs/>
          <w:i/>
          <w:iCs/>
          <w:szCs w:val="24"/>
        </w:rPr>
        <w:t>“The essence of propaganda consists in winning people over to an idea so sincerely, so vitally, that in the end they succumb to it utterly and can never again escape from it.”</w:t>
      </w:r>
    </w:p>
    <w:p w14:paraId="14E4E2AB" w14:textId="77777777" w:rsidR="00471BC7" w:rsidRDefault="00471BC7" w:rsidP="00471BC7">
      <w:pPr>
        <w:rPr>
          <w:rFonts w:ascii="Times New Roman" w:hAnsi="Times New Roman" w:cs="Times New Roman"/>
          <w:b/>
          <w:bCs/>
          <w:i/>
          <w:iCs/>
          <w:szCs w:val="24"/>
        </w:rPr>
      </w:pPr>
      <w:r>
        <w:rPr>
          <w:rFonts w:ascii="Times New Roman" w:hAnsi="Times New Roman" w:cs="Times New Roman"/>
          <w:b/>
          <w:bCs/>
          <w:i/>
          <w:iCs/>
          <w:noProof/>
          <w:szCs w:val="24"/>
        </w:rPr>
        <w:drawing>
          <wp:anchor distT="0" distB="0" distL="114300" distR="114300" simplePos="0" relativeHeight="251660288" behindDoc="0" locked="0" layoutInCell="1" allowOverlap="1" wp14:anchorId="35390DFC" wp14:editId="68DA4C58">
            <wp:simplePos x="0" y="0"/>
            <wp:positionH relativeFrom="column">
              <wp:posOffset>503555</wp:posOffset>
            </wp:positionH>
            <wp:positionV relativeFrom="paragraph">
              <wp:posOffset>238760</wp:posOffset>
            </wp:positionV>
            <wp:extent cx="4615180" cy="2816225"/>
            <wp:effectExtent l="0" t="0" r="0" b="3175"/>
            <wp:wrapTopAndBottom/>
            <wp:docPr id="24850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06735" name="Picture 248506735"/>
                    <pic:cNvPicPr/>
                  </pic:nvPicPr>
                  <pic:blipFill>
                    <a:blip r:embed="rId5">
                      <a:extLst>
                        <a:ext uri="{28A0092B-C50C-407E-A947-70E740481C1C}">
                          <a14:useLocalDpi xmlns:a14="http://schemas.microsoft.com/office/drawing/2010/main" val="0"/>
                        </a:ext>
                      </a:extLst>
                    </a:blip>
                    <a:stretch>
                      <a:fillRect/>
                    </a:stretch>
                  </pic:blipFill>
                  <pic:spPr>
                    <a:xfrm>
                      <a:off x="0" y="0"/>
                      <a:ext cx="4615180" cy="2816225"/>
                    </a:xfrm>
                    <a:prstGeom prst="rect">
                      <a:avLst/>
                    </a:prstGeom>
                  </pic:spPr>
                </pic:pic>
              </a:graphicData>
            </a:graphic>
            <wp14:sizeRelH relativeFrom="margin">
              <wp14:pctWidth>0</wp14:pctWidth>
            </wp14:sizeRelH>
            <wp14:sizeRelV relativeFrom="margin">
              <wp14:pctHeight>0</wp14:pctHeight>
            </wp14:sizeRelV>
          </wp:anchor>
        </w:drawing>
      </w:r>
      <w:r w:rsidRPr="00C23103">
        <w:rPr>
          <w:rFonts w:ascii="Times New Roman" w:hAnsi="Times New Roman" w:cs="Times New Roman"/>
          <w:b/>
          <w:bCs/>
          <w:i/>
          <w:iCs/>
          <w:szCs w:val="24"/>
        </w:rPr>
        <w:t>–Joseph Goebbels</w:t>
      </w:r>
    </w:p>
    <w:p w14:paraId="2BD8795D" w14:textId="77777777" w:rsidR="00471BC7" w:rsidRDefault="00471BC7" w:rsidP="00471BC7">
      <w:pPr>
        <w:rPr>
          <w:rFonts w:ascii="Times New Roman" w:hAnsi="Times New Roman" w:cs="Times New Roman"/>
          <w:b/>
          <w:bCs/>
          <w:i/>
          <w:iCs/>
          <w:szCs w:val="24"/>
        </w:rPr>
      </w:pPr>
    </w:p>
    <w:p w14:paraId="2AB4A3F4" w14:textId="77777777" w:rsidR="00471BC7" w:rsidRPr="009C1219" w:rsidRDefault="00471BC7" w:rsidP="00471BC7">
      <w:pPr>
        <w:rPr>
          <w:rFonts w:ascii="Times New Roman" w:hAnsi="Times New Roman" w:cs="Times New Roman"/>
          <w:b/>
          <w:bCs/>
          <w:szCs w:val="24"/>
        </w:rPr>
      </w:pPr>
      <w:r w:rsidRPr="008518CE">
        <w:rPr>
          <w:rFonts w:ascii="Times New Roman" w:hAnsi="Times New Roman" w:cs="Times New Roman"/>
          <w:b/>
          <w:bCs/>
          <w:color w:val="FF0000"/>
          <w:szCs w:val="24"/>
        </w:rPr>
        <w:t>Kashmir</w:t>
      </w:r>
      <w:r w:rsidRPr="009C1219">
        <w:rPr>
          <w:rFonts w:ascii="Times New Roman" w:hAnsi="Times New Roman" w:cs="Times New Roman"/>
          <w:b/>
          <w:bCs/>
          <w:szCs w:val="24"/>
        </w:rPr>
        <w:t xml:space="preserve">: The Microcosm of Digital Blackouts and the looming edifice of </w:t>
      </w:r>
      <w:r w:rsidRPr="0081566C">
        <w:rPr>
          <w:rFonts w:ascii="Times New Roman" w:hAnsi="Times New Roman" w:cs="Times New Roman"/>
          <w:b/>
          <w:bCs/>
          <w:i/>
          <w:iCs/>
          <w:szCs w:val="24"/>
        </w:rPr>
        <w:t>Totenstille</w:t>
      </w:r>
      <w:r w:rsidRPr="009C1219">
        <w:rPr>
          <w:rFonts w:ascii="Times New Roman" w:hAnsi="Times New Roman" w:cs="Times New Roman"/>
          <w:b/>
          <w:bCs/>
          <w:szCs w:val="24"/>
        </w:rPr>
        <w:t>.</w:t>
      </w:r>
    </w:p>
    <w:p w14:paraId="6F027FD6" w14:textId="77777777" w:rsidR="00471BC7" w:rsidRDefault="00471BC7" w:rsidP="00471BC7">
      <w:pPr>
        <w:rPr>
          <w:rFonts w:ascii="Times New Roman" w:hAnsi="Times New Roman" w:cs="Times New Roman"/>
          <w:szCs w:val="24"/>
        </w:rPr>
      </w:pPr>
      <w:r>
        <w:rPr>
          <w:rFonts w:ascii="Times New Roman" w:hAnsi="Times New Roman" w:cs="Times New Roman"/>
          <w:szCs w:val="24"/>
        </w:rPr>
        <w:t xml:space="preserve">The tectonic blueprint of </w:t>
      </w:r>
      <w:r w:rsidRPr="00240F4C">
        <w:rPr>
          <w:rFonts w:ascii="Times New Roman" w:hAnsi="Times New Roman" w:cs="Times New Roman"/>
          <w:b/>
          <w:bCs/>
          <w:szCs w:val="24"/>
        </w:rPr>
        <w:t xml:space="preserve">digital domination/surveillance </w:t>
      </w:r>
      <w:r>
        <w:rPr>
          <w:rFonts w:ascii="Times New Roman" w:hAnsi="Times New Roman" w:cs="Times New Roman"/>
          <w:szCs w:val="24"/>
        </w:rPr>
        <w:t xml:space="preserve">of the state, controlled by a </w:t>
      </w:r>
      <w:r w:rsidRPr="00343E28">
        <w:rPr>
          <w:rFonts w:ascii="Times New Roman" w:hAnsi="Times New Roman" w:cs="Times New Roman"/>
          <w:i/>
          <w:iCs/>
          <w:szCs w:val="24"/>
        </w:rPr>
        <w:t>Hindutva</w:t>
      </w:r>
      <w:r>
        <w:rPr>
          <w:rFonts w:ascii="Times New Roman" w:hAnsi="Times New Roman" w:cs="Times New Roman"/>
          <w:szCs w:val="24"/>
        </w:rPr>
        <w:t xml:space="preserve"> Regime, was laid in August 2019, when the Indian government completely blocked all communication networks in Jammu and Kashmir, including landlines, fixed line internet and mobile networks. The authorities sought to prevent Kashmiris from organising protests after the government revoked the state’s constitutional autonomous status (under the </w:t>
      </w:r>
      <w:r w:rsidRPr="00343E28">
        <w:rPr>
          <w:rFonts w:ascii="Times New Roman" w:hAnsi="Times New Roman" w:cs="Times New Roman"/>
          <w:i/>
          <w:iCs/>
          <w:szCs w:val="24"/>
        </w:rPr>
        <w:t xml:space="preserve">Article 370 </w:t>
      </w:r>
      <w:r>
        <w:rPr>
          <w:rFonts w:ascii="Times New Roman" w:hAnsi="Times New Roman" w:cs="Times New Roman"/>
          <w:szCs w:val="24"/>
        </w:rPr>
        <w:t>of the Indian Constitution), splitting it into two separate federally governed territories. This absolute state of quarantine for Kashmiris lasted for over 500 days for mobile 4G internet, dousing the region into a state of above imposed isolation curbing the basic human rights of the denizens of a region described as, “</w:t>
      </w:r>
      <w:r w:rsidRPr="00240F4C">
        <w:rPr>
          <w:rFonts w:ascii="Times New Roman" w:hAnsi="Times New Roman" w:cs="Times New Roman"/>
          <w:i/>
          <w:iCs/>
          <w:szCs w:val="24"/>
        </w:rPr>
        <w:t>Jewel in the crown of India</w:t>
      </w:r>
      <w:r>
        <w:rPr>
          <w:rFonts w:ascii="Times New Roman" w:hAnsi="Times New Roman" w:cs="Times New Roman"/>
          <w:szCs w:val="24"/>
        </w:rPr>
        <w:t xml:space="preserve">”, by the Indian Nationalists. This forced suppression of speech was merely a microcosm of what was going to happen thereafter. </w:t>
      </w:r>
    </w:p>
    <w:p w14:paraId="4DEF176C" w14:textId="77777777" w:rsidR="00471BC7" w:rsidRDefault="00471BC7" w:rsidP="00471BC7">
      <w:pPr>
        <w:rPr>
          <w:rFonts w:ascii="Times New Roman" w:hAnsi="Times New Roman" w:cs="Times New Roman"/>
          <w:szCs w:val="24"/>
        </w:rPr>
      </w:pPr>
      <w:r>
        <w:rPr>
          <w:rFonts w:ascii="Times New Roman" w:hAnsi="Times New Roman" w:cs="Times New Roman"/>
          <w:szCs w:val="24"/>
        </w:rPr>
        <w:t>The physical and psychological isolation experienced by Kashmiris was a literal manifestation of what Hannah Arendt termed the “</w:t>
      </w:r>
      <w:r w:rsidRPr="008C47FA">
        <w:rPr>
          <w:rFonts w:ascii="Times New Roman" w:hAnsi="Times New Roman" w:cs="Times New Roman"/>
          <w:b/>
          <w:bCs/>
          <w:szCs w:val="24"/>
        </w:rPr>
        <w:t>destruction of the public realm</w:t>
      </w:r>
      <w:r>
        <w:rPr>
          <w:rFonts w:ascii="Times New Roman" w:hAnsi="Times New Roman" w:cs="Times New Roman"/>
          <w:szCs w:val="24"/>
        </w:rPr>
        <w:t>”</w:t>
      </w:r>
      <w:r>
        <w:rPr>
          <w:rFonts w:ascii="Times New Roman" w:hAnsi="Times New Roman" w:cs="Times New Roman"/>
          <w:i/>
          <w:iCs/>
          <w:szCs w:val="24"/>
        </w:rPr>
        <w:t xml:space="preserve"> (The Origins of Totalitarianism,1951)</w:t>
      </w:r>
      <w:r>
        <w:rPr>
          <w:rFonts w:ascii="Times New Roman" w:hAnsi="Times New Roman" w:cs="Times New Roman"/>
          <w:szCs w:val="24"/>
        </w:rPr>
        <w:t xml:space="preserve">. For Arendt, totalitarian tendencies begin when the state destroys the spaces where citizens can look at one another, speak, and act in concert. A 28-year-old Kashmiri professional </w:t>
      </w:r>
      <w:r>
        <w:rPr>
          <w:rFonts w:ascii="Times New Roman" w:hAnsi="Times New Roman" w:cs="Times New Roman"/>
          <w:szCs w:val="24"/>
        </w:rPr>
        <w:lastRenderedPageBreak/>
        <w:t xml:space="preserve">while talking to </w:t>
      </w:r>
      <w:r w:rsidRPr="00661646">
        <w:rPr>
          <w:rFonts w:ascii="Times New Roman" w:hAnsi="Times New Roman" w:cs="Times New Roman"/>
          <w:i/>
          <w:iCs/>
          <w:szCs w:val="24"/>
        </w:rPr>
        <w:t xml:space="preserve">Human Rights Watch </w:t>
      </w:r>
      <w:r>
        <w:rPr>
          <w:rFonts w:ascii="Times New Roman" w:hAnsi="Times New Roman" w:cs="Times New Roman"/>
          <w:szCs w:val="24"/>
        </w:rPr>
        <w:t>told that for him, the blackout “felt like the silence of the graveyard,”. His words mirrored the exact state of “</w:t>
      </w:r>
      <w:r w:rsidRPr="008C47FA">
        <w:rPr>
          <w:rFonts w:ascii="Times New Roman" w:hAnsi="Times New Roman" w:cs="Times New Roman"/>
          <w:b/>
          <w:bCs/>
          <w:i/>
          <w:iCs/>
          <w:szCs w:val="24"/>
        </w:rPr>
        <w:t>totenstille</w:t>
      </w:r>
      <w:r>
        <w:rPr>
          <w:rFonts w:ascii="Times New Roman" w:hAnsi="Times New Roman" w:cs="Times New Roman"/>
          <w:szCs w:val="24"/>
        </w:rPr>
        <w:t xml:space="preserve">”, an absolute melancholic, dead silence, and this silence was manufactured by the Indian State to prevent any collective political action or resistance. However, the authorities contend the shutdowns are needed to prevent violence fuelled by rumours circulated on social media or mobile messaging applications. </w:t>
      </w:r>
    </w:p>
    <w:p w14:paraId="68626C9D" w14:textId="77777777" w:rsidR="00471BC7" w:rsidRDefault="00471BC7" w:rsidP="00471BC7">
      <w:pPr>
        <w:rPr>
          <w:rFonts w:ascii="Times New Roman" w:hAnsi="Times New Roman" w:cs="Times New Roman"/>
          <w:szCs w:val="24"/>
        </w:rPr>
      </w:pPr>
      <w:r>
        <w:rPr>
          <w:rFonts w:ascii="Times New Roman" w:hAnsi="Times New Roman" w:cs="Times New Roman"/>
          <w:noProof/>
          <w:szCs w:val="24"/>
        </w:rPr>
        <w:drawing>
          <wp:anchor distT="0" distB="0" distL="114300" distR="114300" simplePos="0" relativeHeight="251661312" behindDoc="0" locked="0" layoutInCell="1" allowOverlap="1" wp14:anchorId="19AFB6F8" wp14:editId="050B0A42">
            <wp:simplePos x="0" y="0"/>
            <wp:positionH relativeFrom="column">
              <wp:posOffset>422275</wp:posOffset>
            </wp:positionH>
            <wp:positionV relativeFrom="paragraph">
              <wp:posOffset>3332480</wp:posOffset>
            </wp:positionV>
            <wp:extent cx="5019675" cy="2761615"/>
            <wp:effectExtent l="0" t="0" r="9525" b="635"/>
            <wp:wrapTopAndBottom/>
            <wp:docPr id="1029677811" name="Picture 1">
              <a:extLst xmlns:a="http://schemas.openxmlformats.org/drawingml/2006/main">
                <a:ext uri="{FF2B5EF4-FFF2-40B4-BE49-F238E27FC236}">
                  <a16:creationId xmlns:a16="http://schemas.microsoft.com/office/drawing/2014/main" id="{E628DD60-6079-4A03-8FAB-A15D58EAF8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77811" name="Picture 1029677811"/>
                    <pic:cNvPicPr/>
                  </pic:nvPicPr>
                  <pic:blipFill>
                    <a:blip r:embed="rId6">
                      <a:extLst>
                        <a:ext uri="{28A0092B-C50C-407E-A947-70E740481C1C}">
                          <a14:useLocalDpi xmlns:a14="http://schemas.microsoft.com/office/drawing/2010/main" val="0"/>
                        </a:ext>
                      </a:extLst>
                    </a:blip>
                    <a:stretch>
                      <a:fillRect/>
                    </a:stretch>
                  </pic:blipFill>
                  <pic:spPr>
                    <a:xfrm>
                      <a:off x="0" y="0"/>
                      <a:ext cx="5019675" cy="27616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Cs w:val="24"/>
        </w:rPr>
        <w:t xml:space="preserve"> “There </w:t>
      </w:r>
      <w:proofErr w:type="gramStart"/>
      <w:r>
        <w:rPr>
          <w:rFonts w:ascii="Times New Roman" w:hAnsi="Times New Roman" w:cs="Times New Roman"/>
          <w:szCs w:val="24"/>
        </w:rPr>
        <w:t>is</w:t>
      </w:r>
      <w:proofErr w:type="gramEnd"/>
      <w:r>
        <w:rPr>
          <w:rFonts w:ascii="Times New Roman" w:hAnsi="Times New Roman" w:cs="Times New Roman"/>
          <w:szCs w:val="24"/>
        </w:rPr>
        <w:t xml:space="preserve"> a big song and dance about the internet being cut. Now, if you’ve reached the stage where you say an internet cut is more dangerous than the loss of human lives, then what can I say?” said India’s External Affairs Minister S. Jaishankar in September 2022.This rhetorical manoeuvre is a classic example of what Foucault sees as the “</w:t>
      </w:r>
      <w:r w:rsidRPr="008728CE">
        <w:rPr>
          <w:rFonts w:ascii="Times New Roman" w:hAnsi="Times New Roman" w:cs="Times New Roman"/>
          <w:b/>
          <w:bCs/>
          <w:szCs w:val="24"/>
        </w:rPr>
        <w:t>exercise of biopower</w:t>
      </w:r>
      <w:r>
        <w:rPr>
          <w:rFonts w:ascii="Times New Roman" w:hAnsi="Times New Roman" w:cs="Times New Roman"/>
          <w:szCs w:val="24"/>
        </w:rPr>
        <w:t xml:space="preserve">” </w:t>
      </w:r>
      <w:r w:rsidRPr="00D1288C">
        <w:rPr>
          <w:rFonts w:ascii="Times New Roman" w:hAnsi="Times New Roman" w:cs="Times New Roman"/>
          <w:i/>
          <w:iCs/>
          <w:szCs w:val="24"/>
        </w:rPr>
        <w:t>(The History of Sexuality, 1976)</w:t>
      </w:r>
      <w:r>
        <w:rPr>
          <w:rFonts w:ascii="Times New Roman" w:hAnsi="Times New Roman" w:cs="Times New Roman"/>
          <w:szCs w:val="24"/>
        </w:rPr>
        <w:t>, here for instance, the state justifying the suspension of rights and liberties by claiming that, it is protecting the biological survival of the population. When a state’s primary mission shifts to “protecting and fostering life,” it gains a powerful, moral justification for suppressing dissent. State violence (be it; overt, cultural or structural) is no longer framed as a tyrant protecting his throne, but as a doctor protecting a patient. Here, thus, the state tried to brush aside international criticism by presenting a false binary between digital access and human lives. By framing a basic right in today’s times like “internet access” as a threat to public safety, the state successfully created a parochial definition of security, where all unmonitored civic interaction could be viewed with innate suspicion and therefore, security is treated as a zero-sum, private good where an increase in one’s own safety is assumed to come at the expense of others. (</w:t>
      </w:r>
      <w:r w:rsidRPr="0079145A">
        <w:rPr>
          <w:rFonts w:ascii="Times New Roman" w:hAnsi="Times New Roman" w:cs="Times New Roman"/>
          <w:b/>
          <w:bCs/>
          <w:szCs w:val="24"/>
        </w:rPr>
        <w:t>The national security will come only at an expense of suspension of basic rights of mortal sapiens living within cartographical territories of Kashmir</w:t>
      </w:r>
      <w:r>
        <w:rPr>
          <w:rFonts w:ascii="Times New Roman" w:hAnsi="Times New Roman" w:cs="Times New Roman"/>
          <w:szCs w:val="24"/>
        </w:rPr>
        <w:t>).</w:t>
      </w:r>
    </w:p>
    <w:p w14:paraId="22EDAFD5" w14:textId="77777777" w:rsidR="00471BC7" w:rsidRDefault="00471BC7" w:rsidP="00471BC7">
      <w:pPr>
        <w:rPr>
          <w:rFonts w:ascii="Times New Roman" w:hAnsi="Times New Roman" w:cs="Times New Roman"/>
          <w:szCs w:val="24"/>
        </w:rPr>
      </w:pPr>
    </w:p>
    <w:p w14:paraId="137F4E55" w14:textId="7378C585" w:rsidR="00471BC7" w:rsidRDefault="00471BC7" w:rsidP="00471BC7">
      <w:pPr>
        <w:rPr>
          <w:rFonts w:ascii="Times New Roman" w:hAnsi="Times New Roman" w:cs="Times New Roman"/>
          <w:szCs w:val="24"/>
        </w:rPr>
      </w:pPr>
      <w:r>
        <w:rPr>
          <w:rFonts w:ascii="Times New Roman" w:hAnsi="Times New Roman" w:cs="Times New Roman"/>
          <w:szCs w:val="24"/>
        </w:rPr>
        <w:t xml:space="preserve">Far from being a scrupulous application of emergency powers, which the apex judicial body advised the Indian state in the judgement of </w:t>
      </w:r>
      <w:r w:rsidRPr="007A0751">
        <w:rPr>
          <w:rFonts w:ascii="Times New Roman" w:hAnsi="Times New Roman" w:cs="Times New Roman"/>
          <w:i/>
          <w:iCs/>
          <w:szCs w:val="24"/>
        </w:rPr>
        <w:t>Anuradha Bhasin v. Union of India (2020)</w:t>
      </w:r>
      <w:r>
        <w:rPr>
          <w:rFonts w:ascii="Times New Roman" w:hAnsi="Times New Roman" w:cs="Times New Roman"/>
          <w:szCs w:val="24"/>
        </w:rPr>
        <w:t xml:space="preserve"> case (establishing Internet as medium for expressing basic fundamental rights, and its indefinite suspension illegal), </w:t>
      </w:r>
      <w:r>
        <w:rPr>
          <w:rFonts w:ascii="Times New Roman" w:hAnsi="Times New Roman" w:cs="Times New Roman"/>
          <w:szCs w:val="24"/>
        </w:rPr>
        <w:t>this persistent state</w:t>
      </w:r>
      <w:r>
        <w:rPr>
          <w:rFonts w:ascii="Times New Roman" w:hAnsi="Times New Roman" w:cs="Times New Roman"/>
          <w:szCs w:val="24"/>
        </w:rPr>
        <w:t xml:space="preserve"> sponsored network cut offs, have now expanded to mundane administrative tasks like preventing cheating in school examinations. Moreover, recently, suspending Telegram during the Re-NEET exam exposes an administration at loggerheads with the very concept of ‘constitutional transparency’. It is nothing but a clumsy “shoot the messenger” method enforced by the absolute emasculated state to shield the executive and lawmakers from accountability.</w:t>
      </w:r>
    </w:p>
    <w:p w14:paraId="15ECBF17" w14:textId="77777777" w:rsidR="00471BC7" w:rsidRDefault="00471BC7" w:rsidP="00471BC7">
      <w:pPr>
        <w:rPr>
          <w:rFonts w:ascii="Times New Roman" w:hAnsi="Times New Roman" w:cs="Times New Roman"/>
          <w:szCs w:val="24"/>
        </w:rPr>
      </w:pPr>
    </w:p>
    <w:p w14:paraId="366B8F47" w14:textId="77777777" w:rsidR="00471BC7" w:rsidRDefault="00471BC7" w:rsidP="00471BC7">
      <w:pPr>
        <w:rPr>
          <w:rFonts w:ascii="Times New Roman" w:hAnsi="Times New Roman" w:cs="Times New Roman"/>
          <w:b/>
          <w:bCs/>
          <w:szCs w:val="24"/>
        </w:rPr>
      </w:pPr>
      <w:r>
        <w:rPr>
          <w:rFonts w:ascii="Times New Roman" w:hAnsi="Times New Roman" w:cs="Times New Roman"/>
          <w:b/>
          <w:bCs/>
          <w:szCs w:val="24"/>
        </w:rPr>
        <w:t xml:space="preserve">Backchannel </w:t>
      </w:r>
      <w:r w:rsidRPr="00E20E8D">
        <w:rPr>
          <w:rFonts w:ascii="Times New Roman" w:hAnsi="Times New Roman" w:cs="Times New Roman"/>
          <w:b/>
          <w:bCs/>
          <w:szCs w:val="24"/>
        </w:rPr>
        <w:t>Leg</w:t>
      </w:r>
      <w:r>
        <w:rPr>
          <w:rFonts w:ascii="Times New Roman" w:hAnsi="Times New Roman" w:cs="Times New Roman"/>
          <w:b/>
          <w:bCs/>
          <w:szCs w:val="24"/>
        </w:rPr>
        <w:t>itimisation of dissent suppression</w:t>
      </w:r>
      <w:r w:rsidRPr="00E20E8D">
        <w:rPr>
          <w:rFonts w:ascii="Times New Roman" w:hAnsi="Times New Roman" w:cs="Times New Roman"/>
          <w:b/>
          <w:bCs/>
          <w:szCs w:val="24"/>
        </w:rPr>
        <w:t>: From the 2021 IT Rules to the Ghost of the Broadcasting Bill</w:t>
      </w:r>
    </w:p>
    <w:p w14:paraId="576459ED" w14:textId="0361C1EF" w:rsidR="00471BC7" w:rsidRPr="00796B08" w:rsidRDefault="00471BC7" w:rsidP="00471BC7">
      <w:pPr>
        <w:rPr>
          <w:rFonts w:ascii="Times New Roman" w:hAnsi="Times New Roman" w:cs="Times New Roman"/>
          <w:szCs w:val="24"/>
        </w:rPr>
      </w:pPr>
      <w:r>
        <w:rPr>
          <w:rFonts w:ascii="Times New Roman" w:hAnsi="Times New Roman" w:cs="Times New Roman"/>
          <w:i/>
          <w:iCs/>
          <w:noProof/>
          <w:szCs w:val="24"/>
        </w:rPr>
        <w:lastRenderedPageBreak/>
        <w:drawing>
          <wp:anchor distT="0" distB="0" distL="114300" distR="114300" simplePos="0" relativeHeight="251662336" behindDoc="0" locked="0" layoutInCell="1" allowOverlap="1" wp14:anchorId="1395485E" wp14:editId="42429498">
            <wp:simplePos x="0" y="0"/>
            <wp:positionH relativeFrom="column">
              <wp:posOffset>1001395</wp:posOffset>
            </wp:positionH>
            <wp:positionV relativeFrom="paragraph">
              <wp:posOffset>3472180</wp:posOffset>
            </wp:positionV>
            <wp:extent cx="3774440" cy="1703705"/>
            <wp:effectExtent l="0" t="0" r="0" b="0"/>
            <wp:wrapTopAndBottom/>
            <wp:docPr id="539919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19433" name="Picture 5399194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74440" cy="17037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Cs w:val="24"/>
        </w:rPr>
        <w:t>In February 2021, when state authorities, on one hand, were installing iron nails, coils of barbed wires, steel barricades and hundreds of riot police around the borders of New Delhi in an attempt to stop tens of thousands of protesting farmers from entering the Indian capital following the recent Red Fort march of farmers on the 72</w:t>
      </w:r>
      <w:r w:rsidRPr="005122F1">
        <w:rPr>
          <w:rFonts w:ascii="Times New Roman" w:hAnsi="Times New Roman" w:cs="Times New Roman"/>
          <w:szCs w:val="24"/>
          <w:vertAlign w:val="superscript"/>
        </w:rPr>
        <w:t>nd</w:t>
      </w:r>
      <w:r>
        <w:rPr>
          <w:rFonts w:ascii="Times New Roman" w:hAnsi="Times New Roman" w:cs="Times New Roman"/>
          <w:szCs w:val="24"/>
        </w:rPr>
        <w:t xml:space="preserve"> Republic Day. On the other hand, the introduction of the</w:t>
      </w:r>
      <w:r w:rsidRPr="00FD5176">
        <w:rPr>
          <w:rFonts w:ascii="Times New Roman" w:hAnsi="Times New Roman" w:cs="Times New Roman"/>
          <w:i/>
          <w:iCs/>
          <w:szCs w:val="24"/>
        </w:rPr>
        <w:t xml:space="preserve"> Information Technology (Intermediary Guidelines and Digital Media Ethics Code) Rules, 2021</w:t>
      </w:r>
      <w:r>
        <w:rPr>
          <w:rFonts w:ascii="Times New Roman" w:hAnsi="Times New Roman" w:cs="Times New Roman"/>
          <w:szCs w:val="24"/>
        </w:rPr>
        <w:t xml:space="preserve"> through an executive order, marked paradigm shift in how the Indian state interacts with digital platforms. Bypassing intense parliamentary debate by utilising “delegated legislation” clause, a mechanism tied to </w:t>
      </w:r>
      <w:r w:rsidRPr="000E5950">
        <w:rPr>
          <w:rFonts w:ascii="Times New Roman" w:hAnsi="Times New Roman" w:cs="Times New Roman"/>
          <w:i/>
          <w:iCs/>
          <w:szCs w:val="24"/>
        </w:rPr>
        <w:t xml:space="preserve">section 87 </w:t>
      </w:r>
      <w:r>
        <w:rPr>
          <w:rFonts w:ascii="Times New Roman" w:hAnsi="Times New Roman" w:cs="Times New Roman"/>
          <w:szCs w:val="24"/>
        </w:rPr>
        <w:t xml:space="preserve">of an archaic parent </w:t>
      </w:r>
      <w:r w:rsidRPr="000E5950">
        <w:rPr>
          <w:rFonts w:ascii="Times New Roman" w:hAnsi="Times New Roman" w:cs="Times New Roman"/>
          <w:i/>
          <w:iCs/>
          <w:szCs w:val="24"/>
        </w:rPr>
        <w:t>Act from 2000</w:t>
      </w:r>
      <w:r>
        <w:rPr>
          <w:rFonts w:ascii="Times New Roman" w:hAnsi="Times New Roman" w:cs="Times New Roman"/>
          <w:szCs w:val="24"/>
        </w:rPr>
        <w:t xml:space="preserve">, the government sidestepped the type of democratic scrutiny that would have exposed the deep constitutional inconsistency of the legislation. The </w:t>
      </w:r>
      <w:r w:rsidRPr="00A0236E">
        <w:rPr>
          <w:rFonts w:ascii="Times New Roman" w:hAnsi="Times New Roman" w:cs="Times New Roman"/>
          <w:i/>
          <w:iCs/>
          <w:szCs w:val="24"/>
        </w:rPr>
        <w:t>2021 Rules</w:t>
      </w:r>
      <w:r>
        <w:rPr>
          <w:rFonts w:ascii="Times New Roman" w:hAnsi="Times New Roman" w:cs="Times New Roman"/>
          <w:szCs w:val="24"/>
        </w:rPr>
        <w:t xml:space="preserve"> targeted the structural pillar of digital privacy: end-to-end encryption. It demanded messaging platforms like WhatsApp to build traceability mechanisms under </w:t>
      </w:r>
      <w:r w:rsidRPr="00A0236E">
        <w:rPr>
          <w:rFonts w:ascii="Times New Roman" w:hAnsi="Times New Roman" w:cs="Times New Roman"/>
          <w:i/>
          <w:iCs/>
          <w:szCs w:val="24"/>
        </w:rPr>
        <w:t>Rule 4(2)</w:t>
      </w:r>
      <w:r>
        <w:rPr>
          <w:rFonts w:ascii="Times New Roman" w:hAnsi="Times New Roman" w:cs="Times New Roman"/>
          <w:szCs w:val="24"/>
        </w:rPr>
        <w:t xml:space="preserve">, to identify the “first originator” of a message, thus, creating a de facto backdoor into private conversations. This policy was met with immediate repudiation from civil liberties groups and legal challenges from tech companies. The state’s defensive argument, “that national security admits no compromises” serves to obfuscate its deeper ambition </w:t>
      </w:r>
      <w:r>
        <w:rPr>
          <w:rFonts w:ascii="Times New Roman" w:hAnsi="Times New Roman" w:cs="Times New Roman"/>
          <w:szCs w:val="24"/>
        </w:rPr>
        <w:t>i.e.</w:t>
      </w:r>
      <w:r>
        <w:rPr>
          <w:rFonts w:ascii="Times New Roman" w:hAnsi="Times New Roman" w:cs="Times New Roman"/>
          <w:szCs w:val="24"/>
        </w:rPr>
        <w:t>, the creation of a digital “</w:t>
      </w:r>
      <w:r w:rsidRPr="00711F81">
        <w:rPr>
          <w:rFonts w:ascii="Times New Roman" w:hAnsi="Times New Roman" w:cs="Times New Roman"/>
          <w:b/>
          <w:bCs/>
          <w:szCs w:val="24"/>
        </w:rPr>
        <w:t>Panopticon</w:t>
      </w:r>
      <w:r>
        <w:rPr>
          <w:rFonts w:ascii="Times New Roman" w:hAnsi="Times New Roman" w:cs="Times New Roman"/>
          <w:szCs w:val="24"/>
        </w:rPr>
        <w:t xml:space="preserve">” (a concept introduced by Jeremy Bentham in his </w:t>
      </w:r>
      <w:r w:rsidRPr="00A0236E">
        <w:rPr>
          <w:rFonts w:ascii="Times New Roman" w:hAnsi="Times New Roman" w:cs="Times New Roman"/>
          <w:i/>
          <w:iCs/>
          <w:szCs w:val="24"/>
        </w:rPr>
        <w:t>1791</w:t>
      </w:r>
      <w:r>
        <w:rPr>
          <w:rFonts w:ascii="Times New Roman" w:hAnsi="Times New Roman" w:cs="Times New Roman"/>
          <w:szCs w:val="24"/>
        </w:rPr>
        <w:t xml:space="preserve"> book, </w:t>
      </w:r>
      <w:r w:rsidRPr="00711F81">
        <w:rPr>
          <w:rFonts w:ascii="Times New Roman" w:hAnsi="Times New Roman" w:cs="Times New Roman"/>
          <w:i/>
          <w:iCs/>
          <w:szCs w:val="24"/>
        </w:rPr>
        <w:t>Panopticon</w:t>
      </w:r>
      <w:r>
        <w:rPr>
          <w:rFonts w:ascii="Times New Roman" w:hAnsi="Times New Roman" w:cs="Times New Roman"/>
          <w:i/>
          <w:iCs/>
          <w:szCs w:val="24"/>
        </w:rPr>
        <w:t>).</w:t>
      </w:r>
    </w:p>
    <w:p w14:paraId="3FDACFB6" w14:textId="77777777" w:rsidR="00471BC7" w:rsidRPr="0096508C" w:rsidRDefault="00471BC7" w:rsidP="00471BC7">
      <w:pPr>
        <w:rPr>
          <w:rFonts w:ascii="Times New Roman" w:hAnsi="Times New Roman" w:cs="Times New Roman"/>
          <w:i/>
          <w:iCs/>
          <w:szCs w:val="24"/>
        </w:rPr>
      </w:pPr>
    </w:p>
    <w:p w14:paraId="485F4133" w14:textId="08DA8590" w:rsidR="00471BC7" w:rsidRDefault="00471BC7" w:rsidP="00471BC7">
      <w:pPr>
        <w:rPr>
          <w:rFonts w:ascii="Times New Roman" w:hAnsi="Times New Roman" w:cs="Times New Roman"/>
          <w:szCs w:val="24"/>
        </w:rPr>
      </w:pPr>
      <w:r>
        <w:rPr>
          <w:rFonts w:ascii="Times New Roman" w:hAnsi="Times New Roman" w:cs="Times New Roman"/>
          <w:szCs w:val="24"/>
        </w:rPr>
        <w:t>In Foucault’s analysis of the “</w:t>
      </w:r>
      <w:r w:rsidRPr="00A0236E">
        <w:rPr>
          <w:rFonts w:ascii="Times New Roman" w:hAnsi="Times New Roman" w:cs="Times New Roman"/>
          <w:b/>
          <w:bCs/>
          <w:szCs w:val="24"/>
        </w:rPr>
        <w:t>Panopticon</w:t>
      </w:r>
      <w:r>
        <w:rPr>
          <w:rFonts w:ascii="Times New Roman" w:hAnsi="Times New Roman" w:cs="Times New Roman"/>
          <w:szCs w:val="24"/>
        </w:rPr>
        <w:t xml:space="preserve">” </w:t>
      </w:r>
      <w:r w:rsidRPr="00FB23E4">
        <w:rPr>
          <w:rFonts w:ascii="Times New Roman" w:hAnsi="Times New Roman" w:cs="Times New Roman"/>
          <w:i/>
          <w:iCs/>
          <w:szCs w:val="24"/>
        </w:rPr>
        <w:t>(Discipline and Punish, 1977</w:t>
      </w:r>
      <w:r w:rsidRPr="00FB23E4">
        <w:rPr>
          <w:rFonts w:ascii="Times New Roman" w:hAnsi="Times New Roman" w:cs="Times New Roman"/>
          <w:i/>
          <w:iCs/>
          <w:szCs w:val="24"/>
        </w:rPr>
        <w:t>)</w:t>
      </w:r>
      <w:r>
        <w:rPr>
          <w:rFonts w:ascii="Times New Roman" w:hAnsi="Times New Roman" w:cs="Times New Roman"/>
          <w:szCs w:val="24"/>
        </w:rPr>
        <w:t>, modern</w:t>
      </w:r>
      <w:r>
        <w:rPr>
          <w:rFonts w:ascii="Times New Roman" w:hAnsi="Times New Roman" w:cs="Times New Roman"/>
          <w:szCs w:val="24"/>
        </w:rPr>
        <w:t xml:space="preserve"> power operates not by using constant physical coercion or torture instead by creating a psychological state of permanent visibility, a mental conditioning of constantly being seen and observed by the state. If a citizen believes their private communications can be tracked and unmasked at any moment by a sovereign executive branch acting as judge, jury, and executioner, they will self-censor. Dissent becomes too dangerous to express. </w:t>
      </w:r>
    </w:p>
    <w:p w14:paraId="09551154" w14:textId="77777777" w:rsidR="00471BC7" w:rsidRDefault="00471BC7" w:rsidP="00471BC7">
      <w:pPr>
        <w:rPr>
          <w:rFonts w:ascii="Times New Roman" w:hAnsi="Times New Roman" w:cs="Times New Roman"/>
          <w:szCs w:val="24"/>
        </w:rPr>
      </w:pPr>
    </w:p>
    <w:p w14:paraId="1F868827" w14:textId="77777777" w:rsidR="00471BC7" w:rsidRPr="00024772" w:rsidRDefault="00471BC7" w:rsidP="00471BC7">
      <w:pPr>
        <w:rPr>
          <w:rFonts w:ascii="Times New Roman" w:hAnsi="Times New Roman" w:cs="Times New Roman"/>
          <w:i/>
          <w:iCs/>
          <w:szCs w:val="24"/>
        </w:rPr>
      </w:pPr>
      <w:r>
        <w:rPr>
          <w:rFonts w:ascii="Times New Roman" w:hAnsi="Times New Roman" w:cs="Times New Roman"/>
          <w:szCs w:val="24"/>
        </w:rPr>
        <w:t xml:space="preserve">While responding to the </w:t>
      </w:r>
      <w:r w:rsidRPr="00661646">
        <w:rPr>
          <w:rFonts w:ascii="Times New Roman" w:hAnsi="Times New Roman" w:cs="Times New Roman"/>
          <w:i/>
          <w:iCs/>
          <w:szCs w:val="24"/>
        </w:rPr>
        <w:t>TIME (magazine)</w:t>
      </w:r>
      <w:r>
        <w:rPr>
          <w:rFonts w:ascii="Times New Roman" w:hAnsi="Times New Roman" w:cs="Times New Roman"/>
          <w:szCs w:val="24"/>
        </w:rPr>
        <w:t xml:space="preserve">, Sidharth Bhatia, founding editor of </w:t>
      </w:r>
      <w:r w:rsidRPr="00661646">
        <w:rPr>
          <w:rFonts w:ascii="Times New Roman" w:hAnsi="Times New Roman" w:cs="Times New Roman"/>
          <w:i/>
          <w:iCs/>
          <w:szCs w:val="24"/>
        </w:rPr>
        <w:t>The Wire</w:t>
      </w:r>
      <w:r>
        <w:rPr>
          <w:rFonts w:ascii="Times New Roman" w:hAnsi="Times New Roman" w:cs="Times New Roman"/>
          <w:szCs w:val="24"/>
        </w:rPr>
        <w:t xml:space="preserve">, a leading online publication that regularly publishes content critical of the Indian government amid continuous degradation of press freedom in the country, observed at that time, these rules were exclusively designed to bring digital media “to heel, to control it, and perhaps intimidate it. It is executive overreach of the worst kind.” The executive overreach intensified following the </w:t>
      </w:r>
      <w:r w:rsidRPr="00045444">
        <w:rPr>
          <w:rFonts w:ascii="Times New Roman" w:hAnsi="Times New Roman" w:cs="Times New Roman"/>
          <w:i/>
          <w:iCs/>
          <w:szCs w:val="24"/>
        </w:rPr>
        <w:t>April 2023 amendments to the IT Rules</w:t>
      </w:r>
      <w:r>
        <w:rPr>
          <w:rFonts w:ascii="Times New Roman" w:hAnsi="Times New Roman" w:cs="Times New Roman"/>
          <w:szCs w:val="24"/>
        </w:rPr>
        <w:t xml:space="preserve">. The amendments empowered the Union Government to establish a </w:t>
      </w:r>
      <w:r w:rsidRPr="00024772">
        <w:rPr>
          <w:rFonts w:ascii="Times New Roman" w:hAnsi="Times New Roman" w:cs="Times New Roman"/>
          <w:i/>
          <w:iCs/>
          <w:szCs w:val="24"/>
        </w:rPr>
        <w:t xml:space="preserve">Fact Check Unit </w:t>
      </w:r>
      <w:r>
        <w:rPr>
          <w:rFonts w:ascii="Times New Roman" w:hAnsi="Times New Roman" w:cs="Times New Roman"/>
          <w:szCs w:val="24"/>
        </w:rPr>
        <w:t xml:space="preserve">(FCU) to particularly identify information relating to the “business of the Central Government” that it considered false, fake, or misleading. Consequently, social media platforms faced increased pressure to remove, restrict the visibility, or over-censor the content flagged by government’s FCU in order to retain their safe-harbour protections under </w:t>
      </w:r>
      <w:r w:rsidRPr="00024772">
        <w:rPr>
          <w:rFonts w:ascii="Times New Roman" w:hAnsi="Times New Roman" w:cs="Times New Roman"/>
          <w:i/>
          <w:iCs/>
          <w:szCs w:val="24"/>
        </w:rPr>
        <w:t>Section 79</w:t>
      </w:r>
      <w:r>
        <w:rPr>
          <w:rFonts w:ascii="Times New Roman" w:hAnsi="Times New Roman" w:cs="Times New Roman"/>
          <w:szCs w:val="24"/>
        </w:rPr>
        <w:t xml:space="preserve"> of the </w:t>
      </w:r>
      <w:r w:rsidRPr="00024772">
        <w:rPr>
          <w:rFonts w:ascii="Times New Roman" w:hAnsi="Times New Roman" w:cs="Times New Roman"/>
          <w:i/>
          <w:iCs/>
          <w:szCs w:val="24"/>
        </w:rPr>
        <w:t>IT Act, 200</w:t>
      </w:r>
      <w:r>
        <w:rPr>
          <w:rFonts w:ascii="Times New Roman" w:hAnsi="Times New Roman" w:cs="Times New Roman"/>
          <w:i/>
          <w:iCs/>
          <w:szCs w:val="24"/>
        </w:rPr>
        <w:t>0.</w:t>
      </w:r>
    </w:p>
    <w:p w14:paraId="07220255" w14:textId="77777777" w:rsidR="00471BC7" w:rsidRDefault="00471BC7" w:rsidP="00471BC7">
      <w:pPr>
        <w:rPr>
          <w:rFonts w:ascii="Times New Roman" w:hAnsi="Times New Roman" w:cs="Times New Roman"/>
          <w:szCs w:val="24"/>
        </w:rPr>
      </w:pPr>
      <w:r>
        <w:rPr>
          <w:rFonts w:ascii="Times New Roman" w:hAnsi="Times New Roman" w:cs="Times New Roman"/>
          <w:szCs w:val="24"/>
        </w:rPr>
        <w:t xml:space="preserve">This architecture, gave a free hand to the executive to function simultaneously as the complainant, the judge, and the prosecutor of online speech, thus, leading to serious concerns related to freedom of </w:t>
      </w:r>
      <w:r>
        <w:rPr>
          <w:rFonts w:ascii="Times New Roman" w:hAnsi="Times New Roman" w:cs="Times New Roman"/>
          <w:szCs w:val="24"/>
        </w:rPr>
        <w:lastRenderedPageBreak/>
        <w:t xml:space="preserve">speech and expression (provided to citizens as a fundamental right, under the </w:t>
      </w:r>
      <w:r w:rsidRPr="00C170AF">
        <w:rPr>
          <w:rFonts w:ascii="Times New Roman" w:hAnsi="Times New Roman" w:cs="Times New Roman"/>
          <w:i/>
          <w:iCs/>
          <w:szCs w:val="24"/>
        </w:rPr>
        <w:t>Article 19(1)(a)</w:t>
      </w:r>
      <w:r>
        <w:rPr>
          <w:rFonts w:ascii="Times New Roman" w:hAnsi="Times New Roman" w:cs="Times New Roman"/>
          <w:szCs w:val="24"/>
        </w:rPr>
        <w:t xml:space="preserve"> of the Indian Constitution) and the absence of independent judicial interventions. However, in </w:t>
      </w:r>
      <w:r w:rsidRPr="00821D61">
        <w:rPr>
          <w:rFonts w:ascii="Times New Roman" w:hAnsi="Times New Roman" w:cs="Times New Roman"/>
          <w:i/>
          <w:iCs/>
          <w:szCs w:val="24"/>
        </w:rPr>
        <w:t>Kunal Kamra v. Union of India (2024)</w:t>
      </w:r>
      <w:r>
        <w:rPr>
          <w:rFonts w:ascii="Times New Roman" w:hAnsi="Times New Roman" w:cs="Times New Roman"/>
          <w:szCs w:val="24"/>
        </w:rPr>
        <w:t xml:space="preserve">, the Bombay High Court, by a tie-breaker judgment, struck down the FCU-related amendments as unconstitutional and stated that it </w:t>
      </w:r>
      <w:r w:rsidRPr="00B508FE">
        <w:rPr>
          <w:rFonts w:ascii="Times New Roman" w:hAnsi="Times New Roman" w:cs="Times New Roman"/>
          <w:b/>
          <w:bCs/>
          <w:i/>
          <w:iCs/>
          <w:szCs w:val="24"/>
        </w:rPr>
        <w:t>ultra vires</w:t>
      </w:r>
      <w:r w:rsidRPr="0081566C">
        <w:rPr>
          <w:rFonts w:ascii="Times New Roman" w:hAnsi="Times New Roman" w:cs="Times New Roman"/>
          <w:i/>
          <w:iCs/>
          <w:szCs w:val="24"/>
        </w:rPr>
        <w:t xml:space="preserve"> </w:t>
      </w:r>
      <w:r>
        <w:rPr>
          <w:rFonts w:ascii="Times New Roman" w:hAnsi="Times New Roman" w:cs="Times New Roman"/>
          <w:szCs w:val="24"/>
        </w:rPr>
        <w:t>the parent legislation of 2000. Subsequently, the apex court also, declined to stay the High Court’s judgment, till further proceedings giving a setback to the union government.</w:t>
      </w:r>
    </w:p>
    <w:p w14:paraId="3EC03944" w14:textId="77777777" w:rsidR="00471BC7" w:rsidRDefault="00471BC7" w:rsidP="00471BC7">
      <w:pPr>
        <w:rPr>
          <w:rFonts w:ascii="Times New Roman" w:hAnsi="Times New Roman" w:cs="Times New Roman"/>
          <w:szCs w:val="24"/>
        </w:rPr>
      </w:pPr>
      <w:r>
        <w:rPr>
          <w:rFonts w:ascii="Times New Roman" w:hAnsi="Times New Roman" w:cs="Times New Roman"/>
          <w:szCs w:val="24"/>
        </w:rPr>
        <w:t xml:space="preserve">Later that year in November, the draft of </w:t>
      </w:r>
      <w:r w:rsidRPr="00C170AF">
        <w:rPr>
          <w:rFonts w:ascii="Times New Roman" w:hAnsi="Times New Roman" w:cs="Times New Roman"/>
          <w:i/>
          <w:iCs/>
          <w:szCs w:val="24"/>
        </w:rPr>
        <w:t>Broadcasting Services (Regulation) Bill, 2023</w:t>
      </w:r>
      <w:r>
        <w:rPr>
          <w:rFonts w:ascii="Times New Roman" w:hAnsi="Times New Roman" w:cs="Times New Roman"/>
          <w:szCs w:val="24"/>
        </w:rPr>
        <w:t xml:space="preserve"> was released for public comments, however, the state temporarily withdrawn the bill in 2024 following widespread public revulsion, criticism and coordinated pushback from the </w:t>
      </w:r>
      <w:r w:rsidRPr="00661646">
        <w:rPr>
          <w:rFonts w:ascii="Times New Roman" w:hAnsi="Times New Roman" w:cs="Times New Roman"/>
          <w:i/>
          <w:iCs/>
          <w:szCs w:val="24"/>
        </w:rPr>
        <w:t>Editors Guild of India</w:t>
      </w:r>
      <w:r>
        <w:rPr>
          <w:rFonts w:ascii="Times New Roman" w:hAnsi="Times New Roman" w:cs="Times New Roman"/>
          <w:szCs w:val="24"/>
        </w:rPr>
        <w:t xml:space="preserve"> (EGI). But the bill still remains an ominous shadow over the independent press. The EGI at that time, observed that the provisions were “intentionally vague and excessively intrusive”, it threatened to bring OTT platforms like Netflix, Amazon Prime, Disney+ Hotstar, Jio Cinema, etc. as well as independent digital creators and individual journalists under the same heavy handed licensing process subject to extensive scrutiny by the government typically reserved for traditional television or cable networks.</w:t>
      </w:r>
    </w:p>
    <w:p w14:paraId="6F61BCFE" w14:textId="77777777" w:rsidR="00471BC7" w:rsidRDefault="00471BC7" w:rsidP="00471BC7">
      <w:pPr>
        <w:rPr>
          <w:rFonts w:ascii="Times New Roman" w:hAnsi="Times New Roman" w:cs="Times New Roman"/>
          <w:szCs w:val="24"/>
        </w:rPr>
      </w:pPr>
      <w:r>
        <w:rPr>
          <w:rFonts w:ascii="Times New Roman" w:hAnsi="Times New Roman" w:cs="Times New Roman"/>
          <w:noProof/>
          <w:szCs w:val="24"/>
        </w:rPr>
        <w:drawing>
          <wp:anchor distT="0" distB="0" distL="114300" distR="114300" simplePos="0" relativeHeight="251659264" behindDoc="0" locked="0" layoutInCell="1" allowOverlap="1" wp14:anchorId="3BB19D32" wp14:editId="27E85338">
            <wp:simplePos x="0" y="0"/>
            <wp:positionH relativeFrom="column">
              <wp:posOffset>723900</wp:posOffset>
            </wp:positionH>
            <wp:positionV relativeFrom="paragraph">
              <wp:posOffset>99060</wp:posOffset>
            </wp:positionV>
            <wp:extent cx="4454525" cy="3011805"/>
            <wp:effectExtent l="0" t="0" r="3175" b="0"/>
            <wp:wrapTopAndBottom/>
            <wp:docPr id="1056770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70144" name="Picture 1056770144"/>
                    <pic:cNvPicPr/>
                  </pic:nvPicPr>
                  <pic:blipFill>
                    <a:blip r:embed="rId8">
                      <a:extLst>
                        <a:ext uri="{28A0092B-C50C-407E-A947-70E740481C1C}">
                          <a14:useLocalDpi xmlns:a14="http://schemas.microsoft.com/office/drawing/2010/main" val="0"/>
                        </a:ext>
                      </a:extLst>
                    </a:blip>
                    <a:stretch>
                      <a:fillRect/>
                    </a:stretch>
                  </pic:blipFill>
                  <pic:spPr>
                    <a:xfrm>
                      <a:off x="0" y="0"/>
                      <a:ext cx="4454525" cy="3011805"/>
                    </a:xfrm>
                    <a:prstGeom prst="rect">
                      <a:avLst/>
                    </a:prstGeom>
                  </pic:spPr>
                </pic:pic>
              </a:graphicData>
            </a:graphic>
            <wp14:sizeRelH relativeFrom="margin">
              <wp14:pctWidth>0</wp14:pctWidth>
            </wp14:sizeRelH>
            <wp14:sizeRelV relativeFrom="margin">
              <wp14:pctHeight>0</wp14:pctHeight>
            </wp14:sizeRelV>
          </wp:anchor>
        </w:drawing>
      </w:r>
    </w:p>
    <w:p w14:paraId="139C4D91" w14:textId="77777777" w:rsidR="00471BC7" w:rsidRDefault="00471BC7" w:rsidP="00471BC7">
      <w:pPr>
        <w:rPr>
          <w:rFonts w:ascii="Times New Roman" w:hAnsi="Times New Roman" w:cs="Times New Roman"/>
          <w:szCs w:val="24"/>
        </w:rPr>
      </w:pPr>
      <w:r>
        <w:rPr>
          <w:rFonts w:ascii="Times New Roman" w:hAnsi="Times New Roman" w:cs="Times New Roman"/>
          <w:szCs w:val="24"/>
        </w:rPr>
        <w:t>Thus, the state’s persistent effort to reintroduce versions of these bills reveals a total lack of any iota of truth in its claim that it only wishes to sanitise the web from “obscenity” or fake or misleading contents. Instead, the ultimate goal of Hindutva Regime remains a desire to completely eliminate the barely existing wild, cacophony of independent media and replace it with a uniform landscape of institutional sycophancy.</w:t>
      </w:r>
    </w:p>
    <w:p w14:paraId="6E587FBA" w14:textId="77777777" w:rsidR="00471BC7" w:rsidRPr="00897685" w:rsidRDefault="00471BC7" w:rsidP="00471BC7">
      <w:pPr>
        <w:rPr>
          <w:rFonts w:ascii="Times New Roman" w:hAnsi="Times New Roman" w:cs="Times New Roman"/>
          <w:szCs w:val="24"/>
        </w:rPr>
      </w:pPr>
    </w:p>
    <w:p w14:paraId="5428EA6C" w14:textId="77777777" w:rsidR="00471BC7" w:rsidRPr="00AA4A12" w:rsidRDefault="00471BC7" w:rsidP="00471BC7">
      <w:pPr>
        <w:rPr>
          <w:rFonts w:ascii="Times New Roman" w:hAnsi="Times New Roman" w:cs="Times New Roman"/>
          <w:b/>
          <w:bCs/>
          <w:color w:val="5B9BD5" w:themeColor="accent5"/>
          <w:szCs w:val="24"/>
        </w:rPr>
      </w:pPr>
      <w:r w:rsidRPr="00CE59D4">
        <w:rPr>
          <w:rFonts w:ascii="Times New Roman" w:hAnsi="Times New Roman" w:cs="Times New Roman"/>
          <w:b/>
          <w:bCs/>
          <w:color w:val="5B9BD5" w:themeColor="accent5"/>
          <w:szCs w:val="24"/>
        </w:rPr>
        <w:t>References:</w:t>
      </w:r>
    </w:p>
    <w:p w14:paraId="40B601C8" w14:textId="77777777" w:rsidR="00471BC7" w:rsidRPr="00004EF8" w:rsidRDefault="00471BC7" w:rsidP="00471BC7">
      <w:pPr>
        <w:pStyle w:val="ListParagraph"/>
        <w:numPr>
          <w:ilvl w:val="0"/>
          <w:numId w:val="1"/>
        </w:numPr>
        <w:spacing w:line="240" w:lineRule="auto"/>
        <w:rPr>
          <w:i/>
          <w:iCs/>
        </w:rPr>
      </w:pPr>
      <w:r w:rsidRPr="00004EF8">
        <w:rPr>
          <w:i/>
          <w:iCs/>
        </w:rPr>
        <w:t xml:space="preserve">Chatterjee, S. (2026, June 2). A Foucauldian reading of the populist regime of truth: Power, truth and Foucauldian lens on populism. Substack. </w:t>
      </w:r>
      <w:hyperlink r:id="rId9" w:history="1">
        <w:r w:rsidRPr="00004EF8">
          <w:rPr>
            <w:rStyle w:val="Hyperlink"/>
            <w:i/>
            <w:iCs/>
          </w:rPr>
          <w:t>https://open.substack.com/pub/shibashischatterjee/p/a-foucauldian-reading-of-the-populist?utm_source=share&amp;utm_medium=android&amp;r=5j7ekl</w:t>
        </w:r>
      </w:hyperlink>
    </w:p>
    <w:p w14:paraId="216F399D" w14:textId="77777777" w:rsidR="00471BC7" w:rsidRPr="00004EF8" w:rsidRDefault="00471BC7" w:rsidP="00471BC7">
      <w:pPr>
        <w:pStyle w:val="ListParagraph"/>
        <w:spacing w:line="240" w:lineRule="auto"/>
        <w:rPr>
          <w:i/>
          <w:iCs/>
        </w:rPr>
      </w:pPr>
    </w:p>
    <w:p w14:paraId="4301FB5A" w14:textId="77777777" w:rsidR="00471BC7" w:rsidRPr="00004EF8" w:rsidRDefault="00471BC7" w:rsidP="00471BC7">
      <w:pPr>
        <w:pStyle w:val="ListParagraph"/>
        <w:numPr>
          <w:ilvl w:val="0"/>
          <w:numId w:val="1"/>
        </w:numPr>
        <w:spacing w:line="240" w:lineRule="auto"/>
        <w:rPr>
          <w:i/>
          <w:iCs/>
        </w:rPr>
      </w:pPr>
      <w:r w:rsidRPr="00004EF8">
        <w:rPr>
          <w:i/>
          <w:iCs/>
        </w:rPr>
        <w:t xml:space="preserve">Joudi, B. (2024, January 8). Under the digital panopticon: Exploring activism in an era of surveillance. Outlook, American University of Beirut. </w:t>
      </w:r>
      <w:hyperlink r:id="rId10" w:history="1">
        <w:r w:rsidRPr="00004EF8">
          <w:rPr>
            <w:rStyle w:val="Hyperlink"/>
            <w:i/>
            <w:iCs/>
          </w:rPr>
          <w:t>https://sites.aub.edu.lb/outlook/2024/01/08/under-the-digital-panopticon-exploring-activism-in-an-era-of-surveillance/</w:t>
        </w:r>
      </w:hyperlink>
    </w:p>
    <w:p w14:paraId="3E1471D4" w14:textId="77777777" w:rsidR="00471BC7" w:rsidRPr="00004EF8" w:rsidRDefault="00471BC7" w:rsidP="00471BC7">
      <w:pPr>
        <w:pStyle w:val="ListParagraph"/>
        <w:spacing w:line="240" w:lineRule="auto"/>
        <w:rPr>
          <w:i/>
          <w:iCs/>
        </w:rPr>
      </w:pPr>
    </w:p>
    <w:p w14:paraId="315FAC75" w14:textId="77777777" w:rsidR="00471BC7" w:rsidRPr="00004EF8" w:rsidRDefault="00471BC7" w:rsidP="00471BC7">
      <w:pPr>
        <w:pStyle w:val="ListParagraph"/>
        <w:spacing w:line="240" w:lineRule="auto"/>
        <w:rPr>
          <w:i/>
          <w:iCs/>
        </w:rPr>
      </w:pPr>
    </w:p>
    <w:p w14:paraId="3E67C132" w14:textId="77777777" w:rsidR="00471BC7" w:rsidRPr="00822440" w:rsidRDefault="00471BC7" w:rsidP="00471BC7">
      <w:pPr>
        <w:pStyle w:val="ListParagraph"/>
        <w:numPr>
          <w:ilvl w:val="0"/>
          <w:numId w:val="1"/>
        </w:numPr>
        <w:spacing w:line="240" w:lineRule="auto"/>
        <w:rPr>
          <w:i/>
          <w:iCs/>
        </w:rPr>
      </w:pPr>
      <w:r w:rsidRPr="00004EF8">
        <w:rPr>
          <w:i/>
          <w:iCs/>
        </w:rPr>
        <w:t xml:space="preserve">Sebastian, M. (2026, March 31). How IT Act powers are killing online dissent. LiveLaw. </w:t>
      </w:r>
      <w:hyperlink r:id="rId11" w:history="1">
        <w:r w:rsidRPr="00004EF8">
          <w:rPr>
            <w:rStyle w:val="Hyperlink"/>
            <w:i/>
            <w:iCs/>
          </w:rPr>
          <w:t>https://www.livelaw.in/articles/how-it-act-powers-are-killing-online-dissent-528338</w:t>
        </w:r>
      </w:hyperlink>
    </w:p>
    <w:p w14:paraId="2D6B79F3" w14:textId="77777777" w:rsidR="00471BC7" w:rsidRPr="00822440" w:rsidRDefault="00471BC7" w:rsidP="00471BC7">
      <w:pPr>
        <w:pStyle w:val="ListParagraph"/>
        <w:spacing w:line="240" w:lineRule="auto"/>
        <w:rPr>
          <w:i/>
          <w:iCs/>
        </w:rPr>
      </w:pPr>
    </w:p>
    <w:p w14:paraId="0F323081" w14:textId="77777777" w:rsidR="00471BC7" w:rsidRPr="00004EF8" w:rsidRDefault="00471BC7" w:rsidP="00471BC7">
      <w:pPr>
        <w:pStyle w:val="ListParagraph"/>
        <w:numPr>
          <w:ilvl w:val="0"/>
          <w:numId w:val="1"/>
        </w:numPr>
        <w:spacing w:line="240" w:lineRule="auto"/>
        <w:rPr>
          <w:i/>
          <w:iCs/>
        </w:rPr>
      </w:pPr>
      <w:r w:rsidRPr="00004EF8">
        <w:rPr>
          <w:i/>
          <w:iCs/>
        </w:rPr>
        <w:t xml:space="preserve">SabrangIndia. (2024, January 15). Broadcasting Bill adverse to freedom of speech, freedom of press: Editors Guild of India. </w:t>
      </w:r>
      <w:hyperlink r:id="rId12" w:history="1">
        <w:r w:rsidRPr="00004EF8">
          <w:rPr>
            <w:rStyle w:val="Hyperlink"/>
            <w:i/>
            <w:iCs/>
          </w:rPr>
          <w:t>https://sabrangindia.in/broadcasting-bill-adverse-to-freedom-of-speech-freedom-of-press-egi/</w:t>
        </w:r>
      </w:hyperlink>
    </w:p>
    <w:p w14:paraId="137B7472" w14:textId="77777777" w:rsidR="00471BC7" w:rsidRPr="00004EF8" w:rsidRDefault="00471BC7" w:rsidP="00471BC7">
      <w:pPr>
        <w:spacing w:line="240" w:lineRule="auto"/>
        <w:rPr>
          <w:i/>
          <w:iCs/>
        </w:rPr>
      </w:pPr>
    </w:p>
    <w:p w14:paraId="022EFA02" w14:textId="77777777" w:rsidR="00471BC7" w:rsidRPr="00004EF8" w:rsidRDefault="00471BC7" w:rsidP="00471BC7">
      <w:pPr>
        <w:pStyle w:val="ListParagraph"/>
        <w:numPr>
          <w:ilvl w:val="0"/>
          <w:numId w:val="1"/>
        </w:numPr>
        <w:spacing w:line="240" w:lineRule="auto"/>
        <w:rPr>
          <w:i/>
          <w:iCs/>
        </w:rPr>
      </w:pPr>
      <w:r w:rsidRPr="00004EF8">
        <w:rPr>
          <w:i/>
          <w:iCs/>
        </w:rPr>
        <w:t xml:space="preserve">Human Rights Watch. (2023, June 14). “No internet means no work, no pay, no food”: Internet shutdowns deny access to basic rights in India. </w:t>
      </w:r>
      <w:hyperlink r:id="rId13" w:history="1">
        <w:r w:rsidRPr="00004EF8">
          <w:rPr>
            <w:rStyle w:val="Hyperlink"/>
            <w:i/>
            <w:iCs/>
          </w:rPr>
          <w:t>https://www.hrw.org/report/2023/06/14/no-internet-means-no-work-no-pay-no-food/internet-shutdowns-deny-access-basic</w:t>
        </w:r>
      </w:hyperlink>
    </w:p>
    <w:p w14:paraId="5F39C1DE" w14:textId="77777777" w:rsidR="00471BC7" w:rsidRPr="00004EF8" w:rsidRDefault="00471BC7" w:rsidP="00471BC7">
      <w:pPr>
        <w:pStyle w:val="ListParagraph"/>
        <w:rPr>
          <w:i/>
          <w:iCs/>
        </w:rPr>
      </w:pPr>
    </w:p>
    <w:p w14:paraId="45CF42C2" w14:textId="77777777" w:rsidR="00471BC7" w:rsidRPr="00004EF8" w:rsidRDefault="00471BC7" w:rsidP="00471BC7">
      <w:pPr>
        <w:pStyle w:val="ListParagraph"/>
        <w:numPr>
          <w:ilvl w:val="0"/>
          <w:numId w:val="1"/>
        </w:numPr>
        <w:spacing w:line="240" w:lineRule="auto"/>
        <w:rPr>
          <w:i/>
          <w:iCs/>
        </w:rPr>
      </w:pPr>
      <w:r w:rsidRPr="00004EF8">
        <w:rPr>
          <w:i/>
          <w:iCs/>
        </w:rPr>
        <w:t xml:space="preserve">Shah, F. (2019, August 8). “Anxiety fills the air.” What it’s like inside Kashmir when all communication with the outside world is cut off. Time. </w:t>
      </w:r>
      <w:hyperlink r:id="rId14" w:history="1">
        <w:r w:rsidRPr="00004EF8">
          <w:rPr>
            <w:rStyle w:val="Hyperlink"/>
            <w:i/>
            <w:iCs/>
          </w:rPr>
          <w:t>https://time.com/5646005/inside-kashmir-communication-shutdown/</w:t>
        </w:r>
      </w:hyperlink>
    </w:p>
    <w:p w14:paraId="3B40E68A" w14:textId="77777777" w:rsidR="00471BC7" w:rsidRPr="00004EF8" w:rsidRDefault="00471BC7" w:rsidP="00471BC7">
      <w:pPr>
        <w:spacing w:line="240" w:lineRule="auto"/>
        <w:rPr>
          <w:i/>
          <w:iCs/>
        </w:rPr>
      </w:pPr>
    </w:p>
    <w:p w14:paraId="43D922B6" w14:textId="77777777" w:rsidR="00471BC7" w:rsidRPr="00004EF8" w:rsidRDefault="00471BC7" w:rsidP="00471BC7">
      <w:pPr>
        <w:pStyle w:val="ListParagraph"/>
        <w:numPr>
          <w:ilvl w:val="0"/>
          <w:numId w:val="1"/>
        </w:numPr>
        <w:spacing w:line="240" w:lineRule="auto"/>
        <w:rPr>
          <w:i/>
          <w:iCs/>
        </w:rPr>
      </w:pPr>
      <w:r w:rsidRPr="00004EF8">
        <w:rPr>
          <w:i/>
          <w:iCs/>
        </w:rPr>
        <w:t xml:space="preserve">Perrigo, B. (2021, March 11). India’s new internet rules are a step toward “digital authoritarianism,” activists say. Here’s what they will mean. Time. </w:t>
      </w:r>
      <w:hyperlink r:id="rId15" w:history="1">
        <w:r w:rsidRPr="00004EF8">
          <w:rPr>
            <w:rStyle w:val="Hyperlink"/>
            <w:i/>
            <w:iCs/>
          </w:rPr>
          <w:t>https://time.com/5946092/india-internet-rules-impact/</w:t>
        </w:r>
      </w:hyperlink>
    </w:p>
    <w:p w14:paraId="7C156D24" w14:textId="77777777" w:rsidR="00471BC7" w:rsidRPr="00004EF8" w:rsidRDefault="00471BC7" w:rsidP="00471BC7">
      <w:pPr>
        <w:spacing w:line="240" w:lineRule="auto"/>
        <w:rPr>
          <w:i/>
          <w:iCs/>
        </w:rPr>
      </w:pPr>
    </w:p>
    <w:p w14:paraId="5D08F3CA" w14:textId="77777777" w:rsidR="00471BC7" w:rsidRPr="00004EF8" w:rsidRDefault="00471BC7" w:rsidP="00471BC7">
      <w:pPr>
        <w:pStyle w:val="ListParagraph"/>
        <w:numPr>
          <w:ilvl w:val="0"/>
          <w:numId w:val="1"/>
        </w:numPr>
        <w:spacing w:line="240" w:lineRule="auto"/>
        <w:rPr>
          <w:i/>
          <w:iCs/>
        </w:rPr>
      </w:pPr>
      <w:r w:rsidRPr="00004EF8">
        <w:rPr>
          <w:i/>
          <w:iCs/>
        </w:rPr>
        <w:t xml:space="preserve">Al Jazeera. (2021, February 3). In pictures: Iron spikes and steel barricades at India’s farmers’ protest. </w:t>
      </w:r>
      <w:hyperlink r:id="rId16" w:history="1">
        <w:r w:rsidRPr="00004EF8">
          <w:rPr>
            <w:rStyle w:val="Hyperlink"/>
            <w:i/>
            <w:iCs/>
          </w:rPr>
          <w:t>https://www.aljazeera.com/gallery/2021/2/3/in-pictures-iron-spikes-and-steel-barricades-at-farmers-protest</w:t>
        </w:r>
      </w:hyperlink>
    </w:p>
    <w:p w14:paraId="3B7D7402" w14:textId="77777777" w:rsidR="00471BC7" w:rsidRPr="00004EF8" w:rsidRDefault="00471BC7" w:rsidP="00471BC7">
      <w:pPr>
        <w:spacing w:line="240" w:lineRule="auto"/>
        <w:rPr>
          <w:i/>
          <w:iCs/>
        </w:rPr>
      </w:pPr>
    </w:p>
    <w:p w14:paraId="56D85295" w14:textId="77777777" w:rsidR="00471BC7" w:rsidRPr="00004EF8" w:rsidRDefault="00471BC7" w:rsidP="00471BC7">
      <w:pPr>
        <w:pStyle w:val="ListParagraph"/>
        <w:numPr>
          <w:ilvl w:val="0"/>
          <w:numId w:val="1"/>
        </w:numPr>
        <w:spacing w:line="240" w:lineRule="auto"/>
        <w:rPr>
          <w:i/>
          <w:iCs/>
        </w:rPr>
      </w:pPr>
      <w:r w:rsidRPr="00004EF8">
        <w:rPr>
          <w:i/>
          <w:iCs/>
        </w:rPr>
        <w:t xml:space="preserve">Panjiar, T. (2024, August 30). The bill that never was: The comeback, resistance, and downfall of the Broadcasting Bill. Internet Freedom Foundation. </w:t>
      </w:r>
      <w:hyperlink r:id="rId17" w:history="1">
        <w:r w:rsidRPr="00004EF8">
          <w:rPr>
            <w:rStyle w:val="Hyperlink"/>
            <w:i/>
            <w:iCs/>
          </w:rPr>
          <w:t>https://internetfreedom.in/a-broadcasting-summary/</w:t>
        </w:r>
      </w:hyperlink>
    </w:p>
    <w:p w14:paraId="43E50083" w14:textId="77777777" w:rsidR="00471BC7" w:rsidRPr="00004EF8" w:rsidRDefault="00471BC7" w:rsidP="00471BC7">
      <w:pPr>
        <w:spacing w:line="240" w:lineRule="auto"/>
        <w:rPr>
          <w:i/>
          <w:iCs/>
        </w:rPr>
      </w:pPr>
    </w:p>
    <w:p w14:paraId="43516806" w14:textId="77777777" w:rsidR="00471BC7" w:rsidRPr="00004EF8" w:rsidRDefault="00471BC7" w:rsidP="00471BC7">
      <w:pPr>
        <w:pStyle w:val="ListParagraph"/>
        <w:numPr>
          <w:ilvl w:val="0"/>
          <w:numId w:val="1"/>
        </w:numPr>
        <w:spacing w:line="240" w:lineRule="auto"/>
        <w:rPr>
          <w:i/>
          <w:iCs/>
        </w:rPr>
      </w:pPr>
      <w:r w:rsidRPr="00004EF8">
        <w:rPr>
          <w:i/>
          <w:iCs/>
        </w:rPr>
        <w:t xml:space="preserve">Jain, A. (2024, October 8). The Bombay High Court dismisses the Ministry of Truth. Verfassungsblog. </w:t>
      </w:r>
      <w:hyperlink r:id="rId18" w:history="1">
        <w:r w:rsidRPr="00004EF8">
          <w:rPr>
            <w:rStyle w:val="Hyperlink"/>
            <w:i/>
            <w:iCs/>
          </w:rPr>
          <w:t>https://verfassungsblog.de/india-fact-checking-unit-fake-news/</w:t>
        </w:r>
      </w:hyperlink>
    </w:p>
    <w:p w14:paraId="25107E21" w14:textId="77777777" w:rsidR="00471BC7" w:rsidRPr="00004EF8" w:rsidRDefault="00471BC7" w:rsidP="00471BC7">
      <w:pPr>
        <w:spacing w:line="240" w:lineRule="auto"/>
        <w:rPr>
          <w:i/>
          <w:iCs/>
        </w:rPr>
      </w:pPr>
    </w:p>
    <w:p w14:paraId="04C38A90" w14:textId="77777777" w:rsidR="00471BC7" w:rsidRPr="00004EF8" w:rsidRDefault="00471BC7" w:rsidP="00471BC7">
      <w:pPr>
        <w:pStyle w:val="ListParagraph"/>
        <w:numPr>
          <w:ilvl w:val="0"/>
          <w:numId w:val="1"/>
        </w:numPr>
        <w:spacing w:line="240" w:lineRule="auto"/>
        <w:rPr>
          <w:i/>
          <w:iCs/>
        </w:rPr>
      </w:pPr>
      <w:r w:rsidRPr="00004EF8">
        <w:rPr>
          <w:i/>
          <w:iCs/>
        </w:rPr>
        <w:t xml:space="preserve">Roy, R. (2024, March 23). Big relief! Supreme Court stays notification constituting Fact-Check </w:t>
      </w:r>
      <w:proofErr w:type="gramStart"/>
      <w:r w:rsidRPr="00004EF8">
        <w:rPr>
          <w:i/>
          <w:iCs/>
        </w:rPr>
        <w:t>Unit!.</w:t>
      </w:r>
      <w:proofErr w:type="gramEnd"/>
      <w:r w:rsidRPr="00004EF8">
        <w:rPr>
          <w:i/>
          <w:iCs/>
        </w:rPr>
        <w:t xml:space="preserve"> Internet Freedom Foundation. </w:t>
      </w:r>
      <w:hyperlink r:id="rId19" w:history="1">
        <w:r w:rsidRPr="00004EF8">
          <w:rPr>
            <w:rStyle w:val="Hyperlink"/>
            <w:i/>
            <w:iCs/>
          </w:rPr>
          <w:t>https://internetfreedom.in/sc-stays-notification-constituting-fcu/</w:t>
        </w:r>
      </w:hyperlink>
    </w:p>
    <w:p w14:paraId="5CA7703B" w14:textId="77777777" w:rsidR="00471BC7" w:rsidRPr="00004EF8" w:rsidRDefault="00471BC7" w:rsidP="00471BC7">
      <w:pPr>
        <w:pStyle w:val="ListParagraph"/>
        <w:rPr>
          <w:i/>
          <w:iCs/>
        </w:rPr>
      </w:pPr>
    </w:p>
    <w:p w14:paraId="1E8970EF" w14:textId="77777777" w:rsidR="00471BC7" w:rsidRPr="00004EF8" w:rsidRDefault="00471BC7" w:rsidP="00471BC7">
      <w:pPr>
        <w:pStyle w:val="ListParagraph"/>
        <w:spacing w:line="240" w:lineRule="auto"/>
        <w:rPr>
          <w:i/>
          <w:iCs/>
        </w:rPr>
      </w:pPr>
    </w:p>
    <w:p w14:paraId="19BE5113" w14:textId="77777777" w:rsidR="00471BC7" w:rsidRPr="00004EF8" w:rsidRDefault="00471BC7" w:rsidP="00471BC7">
      <w:pPr>
        <w:pStyle w:val="ListParagraph"/>
        <w:numPr>
          <w:ilvl w:val="0"/>
          <w:numId w:val="1"/>
        </w:numPr>
        <w:spacing w:line="240" w:lineRule="auto"/>
        <w:rPr>
          <w:i/>
          <w:iCs/>
        </w:rPr>
      </w:pPr>
      <w:r w:rsidRPr="00004EF8">
        <w:rPr>
          <w:i/>
          <w:iCs/>
        </w:rPr>
        <w:t xml:space="preserve">Mogul, R., &amp; Regan, H. (2024, May 22). Is India’s free press not so free after a decade of Modi? CNN. </w:t>
      </w:r>
      <w:hyperlink r:id="rId20" w:history="1">
        <w:r w:rsidRPr="00004EF8">
          <w:rPr>
            <w:rStyle w:val="Hyperlink"/>
            <w:i/>
            <w:iCs/>
          </w:rPr>
          <w:t>https://edition.cnn.com/2024/05/22/media/india-elections-press-freedom-decline-intl-hnk</w:t>
        </w:r>
      </w:hyperlink>
    </w:p>
    <w:p w14:paraId="6910D491" w14:textId="77777777" w:rsidR="00471BC7" w:rsidRDefault="00471BC7"/>
    <w:sectPr w:rsidR="00471B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D7951"/>
    <w:multiLevelType w:val="hybridMultilevel"/>
    <w:tmpl w:val="A68CC7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9443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BC7"/>
    <w:rsid w:val="00471BC7"/>
    <w:rsid w:val="00F918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E0051"/>
  <w15:chartTrackingRefBased/>
  <w15:docId w15:val="{CB2EF303-99AD-48A9-BA8C-2D6B46378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BC7"/>
    <w:pPr>
      <w:spacing w:line="259" w:lineRule="auto"/>
    </w:pPr>
    <w:rPr>
      <w:sz w:val="22"/>
      <w:szCs w:val="22"/>
    </w:rPr>
  </w:style>
  <w:style w:type="paragraph" w:styleId="Heading1">
    <w:name w:val="heading 1"/>
    <w:basedOn w:val="Normal"/>
    <w:next w:val="Normal"/>
    <w:link w:val="Heading1Char"/>
    <w:uiPriority w:val="9"/>
    <w:qFormat/>
    <w:rsid w:val="00471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1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1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1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1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1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1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1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1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1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1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BC7"/>
    <w:rPr>
      <w:rFonts w:eastAsiaTheme="majorEastAsia" w:cstheme="majorBidi"/>
      <w:color w:val="272727" w:themeColor="text1" w:themeTint="D8"/>
    </w:rPr>
  </w:style>
  <w:style w:type="paragraph" w:styleId="Title">
    <w:name w:val="Title"/>
    <w:basedOn w:val="Normal"/>
    <w:next w:val="Normal"/>
    <w:link w:val="TitleChar"/>
    <w:uiPriority w:val="10"/>
    <w:qFormat/>
    <w:rsid w:val="00471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BC7"/>
    <w:pPr>
      <w:spacing w:before="160"/>
      <w:jc w:val="center"/>
    </w:pPr>
    <w:rPr>
      <w:i/>
      <w:iCs/>
      <w:color w:val="404040" w:themeColor="text1" w:themeTint="BF"/>
    </w:rPr>
  </w:style>
  <w:style w:type="character" w:customStyle="1" w:styleId="QuoteChar">
    <w:name w:val="Quote Char"/>
    <w:basedOn w:val="DefaultParagraphFont"/>
    <w:link w:val="Quote"/>
    <w:uiPriority w:val="29"/>
    <w:rsid w:val="00471BC7"/>
    <w:rPr>
      <w:i/>
      <w:iCs/>
      <w:color w:val="404040" w:themeColor="text1" w:themeTint="BF"/>
    </w:rPr>
  </w:style>
  <w:style w:type="paragraph" w:styleId="ListParagraph">
    <w:name w:val="List Paragraph"/>
    <w:basedOn w:val="Normal"/>
    <w:uiPriority w:val="34"/>
    <w:qFormat/>
    <w:rsid w:val="00471BC7"/>
    <w:pPr>
      <w:ind w:left="720"/>
      <w:contextualSpacing/>
    </w:pPr>
  </w:style>
  <w:style w:type="character" w:styleId="IntenseEmphasis">
    <w:name w:val="Intense Emphasis"/>
    <w:basedOn w:val="DefaultParagraphFont"/>
    <w:uiPriority w:val="21"/>
    <w:qFormat/>
    <w:rsid w:val="00471BC7"/>
    <w:rPr>
      <w:i/>
      <w:iCs/>
      <w:color w:val="2F5496" w:themeColor="accent1" w:themeShade="BF"/>
    </w:rPr>
  </w:style>
  <w:style w:type="paragraph" w:styleId="IntenseQuote">
    <w:name w:val="Intense Quote"/>
    <w:basedOn w:val="Normal"/>
    <w:next w:val="Normal"/>
    <w:link w:val="IntenseQuoteChar"/>
    <w:uiPriority w:val="30"/>
    <w:qFormat/>
    <w:rsid w:val="00471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1BC7"/>
    <w:rPr>
      <w:i/>
      <w:iCs/>
      <w:color w:val="2F5496" w:themeColor="accent1" w:themeShade="BF"/>
    </w:rPr>
  </w:style>
  <w:style w:type="character" w:styleId="IntenseReference">
    <w:name w:val="Intense Reference"/>
    <w:basedOn w:val="DefaultParagraphFont"/>
    <w:uiPriority w:val="32"/>
    <w:qFormat/>
    <w:rsid w:val="00471BC7"/>
    <w:rPr>
      <w:b/>
      <w:bCs/>
      <w:smallCaps/>
      <w:color w:val="2F5496" w:themeColor="accent1" w:themeShade="BF"/>
      <w:spacing w:val="5"/>
    </w:rPr>
  </w:style>
  <w:style w:type="character" w:styleId="Hyperlink">
    <w:name w:val="Hyperlink"/>
    <w:basedOn w:val="DefaultParagraphFont"/>
    <w:uiPriority w:val="99"/>
    <w:unhideWhenUsed/>
    <w:rsid w:val="00471B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hrw.org/report/2023/06/14/no-internet-means-no-work-no-pay-no-food/internet-shutdowns-deny-access-basic" TargetMode="External"/><Relationship Id="rId18" Type="http://schemas.openxmlformats.org/officeDocument/2006/relationships/hyperlink" Target="https://verfassungsblog.de/india-fact-checking-unit-fake-new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hyperlink" Target="https://sabrangindia.in/broadcasting-bill-adverse-to-freedom-of-speech-freedom-of-press-egi/" TargetMode="External"/><Relationship Id="rId17" Type="http://schemas.openxmlformats.org/officeDocument/2006/relationships/hyperlink" Target="https://internetfreedom.in/a-broadcasting-summary/" TargetMode="External"/><Relationship Id="rId2" Type="http://schemas.openxmlformats.org/officeDocument/2006/relationships/styles" Target="styles.xml"/><Relationship Id="rId16" Type="http://schemas.openxmlformats.org/officeDocument/2006/relationships/hyperlink" Target="https://www.aljazeera.com/gallery/2021/2/3/in-pictures-iron-spikes-and-steel-barricades-at-farmers-protest" TargetMode="External"/><Relationship Id="rId20" Type="http://schemas.openxmlformats.org/officeDocument/2006/relationships/hyperlink" Target="https://edition.cnn.com/2024/05/22/media/india-elections-press-freedom-decline-intl-hnk"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livelaw.in/articles/how-it-act-powers-are-killing-online-dissent-528338" TargetMode="External"/><Relationship Id="rId5" Type="http://schemas.openxmlformats.org/officeDocument/2006/relationships/image" Target="media/image1.jpeg"/><Relationship Id="rId15" Type="http://schemas.openxmlformats.org/officeDocument/2006/relationships/hyperlink" Target="https://time.com/5946092/india-internet-rules-impact/" TargetMode="External"/><Relationship Id="rId10" Type="http://schemas.openxmlformats.org/officeDocument/2006/relationships/hyperlink" Target="https://sites.aub.edu.lb/outlook/2024/01/08/under-the-digital-panopticon-exploring-activism-in-an-era-of-surveillance/" TargetMode="External"/><Relationship Id="rId19" Type="http://schemas.openxmlformats.org/officeDocument/2006/relationships/hyperlink" Target="https://internetfreedom.in/sc-stays-notification-constituting-fcu/" TargetMode="External"/><Relationship Id="rId4" Type="http://schemas.openxmlformats.org/officeDocument/2006/relationships/webSettings" Target="webSettings.xml"/><Relationship Id="rId9" Type="http://schemas.openxmlformats.org/officeDocument/2006/relationships/hyperlink" Target="https://open.substack.com/pub/shibashischatterjee/p/a-foucauldian-reading-of-the-populist?utm_source=share&amp;utm_medium=android&amp;r=5j7ekl" TargetMode="External"/><Relationship Id="rId14" Type="http://schemas.openxmlformats.org/officeDocument/2006/relationships/hyperlink" Target="https://time.com/5646005/inside-kashmir-communication-shutdow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2024</Words>
  <Characters>11543</Characters>
  <Application>Microsoft Office Word</Application>
  <DocSecurity>0</DocSecurity>
  <Lines>96</Lines>
  <Paragraphs>27</Paragraphs>
  <ScaleCrop>false</ScaleCrop>
  <Company/>
  <LinksUpToDate>false</LinksUpToDate>
  <CharactersWithSpaces>13540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jayasmitasarkar45@gmail.com</dc:creator>
  <cp:keywords/>
  <dc:description/>
  <cp:lastModifiedBy>jayasmitasarkar45@gmail.com</cp:lastModifiedBy>
  <cp:revision>1</cp:revision>
  <dcterms:created xsi:type="dcterms:W3CDTF">2026-08-01T16:50:00Z</dcterms:created>
  <dcterms:modified xsi:type="dcterms:W3CDTF">2026-08-01T16:54:00Z</dcterms:modified>
</cp:coreProperties>
</file>