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jc w:val="both"/>
        <w:rPr>
          <w:b w:val="1"/>
          <w:bCs w:val="1"/>
          <w:sz w:val="36"/>
          <w:szCs w:val="36"/>
        </w:rPr>
      </w:pPr>
      <w:r w:rsidDel="00000000" w:rsidR="00000000" w:rsidRPr="00000000">
        <w:rPr>
          <w:b w:val="1"/>
          <w:bCs w:val="1"/>
          <w:sz w:val="36"/>
          <w:szCs w:val="36"/>
          <w:rtl w:val="0"/>
        </w:rPr>
        <w:t xml:space="preserve">The "Neighbourhood First Mirage" : Beijing's Encirclement of South Asia </w:t>
      </w:r>
    </w:p>
    <w:p w:rsidR="00000000" w:rsidDel="00000000" w:rsidP="00000000" w:rsidRDefault="00000000" w:rsidRPr="00000000" w14:paraId="00000002">
      <w:pPr>
        <w:jc w:val="both"/>
        <w:rPr/>
      </w:pPr>
      <w:r w:rsidDel="00000000" w:rsidR="00000000" w:rsidRPr="00000000">
        <w:rPr>
          <w:b w:val="1"/>
          <w:bCs w:val="1"/>
          <w:sz w:val="36"/>
          <w:szCs w:val="36"/>
          <w:rtl w:val="0"/>
        </w:rPr>
        <w:t xml:space="preserve">                  </w:t>
      </w:r>
      <w:r w:rsidDel="00000000" w:rsidR="00000000" w:rsidRPr="00000000">
        <w:rPr>
          <w:rtl w:val="0"/>
        </w:rPr>
        <w:t xml:space="preserve">Debadrito Sarkar, UG III</w:t>
      </w:r>
    </w:p>
    <w:p w:rsidR="00000000" w:rsidDel="00000000" w:rsidP="00000000" w:rsidRDefault="00000000" w:rsidRPr="00000000" w14:paraId="00000003">
      <w:pPr>
        <w:jc w:val="both"/>
        <w:rPr>
          <w:b w:val="1"/>
          <w:bCs w:val="1"/>
          <w:sz w:val="36"/>
          <w:szCs w:val="36"/>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​"Geography is a reality, but connectivity is a choice. If you don't build it, someone else will. The competition for influence in our periphery is real, and it will be decided by who out implements, not who out argues."</w:t>
      </w:r>
    </w:p>
    <w:p w:rsidR="00000000" w:rsidDel="00000000" w:rsidP="00000000" w:rsidRDefault="00000000" w:rsidRPr="00000000" w14:paraId="00000005">
      <w:pPr>
        <w:jc w:val="both"/>
        <w:rPr/>
      </w:pPr>
      <w:r w:rsidDel="00000000" w:rsidR="00000000" w:rsidRPr="00000000">
        <w:rPr>
          <w:rtl w:val="0"/>
        </w:rPr>
        <w:t xml:space="preserve">(Dr. S. Jaishankar) </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b w:val="1"/>
          <w:bCs w:val="1"/>
          <w:rtl w:val="0"/>
        </w:rPr>
        <w:t xml:space="preserve">Introduction</w:t>
      </w:r>
      <w:r w:rsidDel="00000000" w:rsidR="00000000" w:rsidRPr="00000000">
        <w:rPr>
          <w:rtl w:val="0"/>
        </w:rPr>
        <w:t xml:space="preserve">: </w:t>
      </w:r>
    </w:p>
    <w:p w:rsidR="00000000" w:rsidDel="00000000" w:rsidP="00000000" w:rsidRDefault="00000000" w:rsidRPr="00000000" w14:paraId="00000008">
      <w:pPr>
        <w:jc w:val="both"/>
        <w:rPr/>
      </w:pPr>
      <w:r w:rsidDel="00000000" w:rsidR="00000000" w:rsidRPr="00000000">
        <w:rPr>
          <w:rtl w:val="0"/>
        </w:rPr>
        <w:t xml:space="preserve">For decades, India operated on a fundamental diplomatic axiom: that geography, shared history, and cultural proximity would permanently secure its position as the natural hegemon of South Asia. This premise birthed New Delhi’s flagship "Neighbourhood First" policy, designed to anchor peripheral states into a unified, India-centric economic and security orbit.</w:t>
      </w:r>
    </w:p>
    <w:p w:rsidR="00000000" w:rsidDel="00000000" w:rsidP="00000000" w:rsidRDefault="00000000" w:rsidRPr="00000000" w14:paraId="00000009">
      <w:pPr>
        <w:jc w:val="both"/>
        <w:rPr/>
      </w:pPr>
      <w:r w:rsidDel="00000000" w:rsidR="00000000" w:rsidRPr="00000000">
        <w:rPr>
          <w:rtl w:val="0"/>
        </w:rPr>
        <w:t xml:space="preserve">​However, contemporary geopolitical realities have exposed this regional dominance as a fragmenting mirage. Through a systematic, deeply monetized strategy of strategic encirclement, Beijing has methodically weaponized massive infrastructure funding, asymmetrical trade dominance, and predatory debt statecraft to reshape the subcontinent. By surpassing a historic $200 billion in bilateral trade with South Asian nations and driving India’s own bilateral trade deficit to a record $112.16 billion, China has shattered the assumption that physical proximity guarantees political loyalty.</w:t>
      </w:r>
    </w:p>
    <w:p w:rsidR="00000000" w:rsidDel="00000000" w:rsidP="00000000" w:rsidRDefault="00000000" w:rsidRPr="00000000" w14:paraId="0000000A">
      <w:pPr>
        <w:jc w:val="both"/>
        <w:rPr/>
      </w:pPr>
      <w:r w:rsidDel="00000000" w:rsidR="00000000" w:rsidRPr="00000000">
        <w:rPr>
          <w:rtl w:val="0"/>
        </w:rPr>
        <w:t xml:space="preserve">​This aggressive, multipronged encirclement has effectively transformed India's traditional backyard from a secure buffer zone into a highly contested frontline of major-power friction, forcing New Delhi to pivot from passive diplomatic outreach to high-stakes, competitive survival.</w:t>
      </w:r>
    </w:p>
    <w:p w:rsidR="00000000" w:rsidDel="00000000" w:rsidP="00000000" w:rsidRDefault="00000000" w:rsidRPr="00000000" w14:paraId="0000000B">
      <w:pPr>
        <w:jc w:val="both"/>
        <w:rPr/>
      </w:pPr>
      <w:r w:rsidDel="00000000" w:rsidR="00000000" w:rsidRPr="00000000">
        <w:rPr>
          <w:rtl w:val="0"/>
        </w:rPr>
        <w:t xml:space="preserve">At the core of Beijing’s encirclement strategy is an overwhelming economic disparity. Over the past decade, China has systematically replaced India as the primary trading partner for nearly every country in South Asia. While India's total merchandise exports to its immediate neighbors Bangladesh, Nepal, Sri Lanka, the Maldives, and Bhutan hover around 25 to 30 billion dollars annually, China’s trade footprint in the region has ballooned exponentially. This trade disparity is starkly visible in India’s own bilateral dynamics; New Delhi’s trade deficit with Beijing reached a historic high of 99.2 billion dollars, driven by 113.5 billion dollars in Chinese imports against just 14.3 billion dollars in Indian exports. This structural reliance on Chinese supply chains is mirrored across the subcontinent. Bangladesh, historically India’s closest economic partner in the east, now counts China as its largest importing partner, absorbing over 20 billion dollars in Chinese goods annually, effectively diluting India’s geographical advantage through commercial dependency.</w:t>
      </w:r>
    </w:p>
    <w:p w:rsidR="00000000" w:rsidDel="00000000" w:rsidP="00000000" w:rsidRDefault="00000000" w:rsidRPr="00000000" w14:paraId="0000000C">
      <w:pPr>
        <w:jc w:val="both"/>
        <w:rPr/>
      </w:pPr>
      <w:r w:rsidDel="00000000" w:rsidR="00000000" w:rsidRPr="00000000">
        <w:rPr>
          <w:rtl w:val="0"/>
        </w:rPr>
        <w:t xml:space="preserve">This trade dominance is reinforced by the massive financial architecture of the Belt and Road Initiative, which has pumped more than 100 billion dollars into infrastructure surrounding India. The western anchor of this encirclement, the China-Pakistan Economic Corridor, has seen Chinese investments scale up to 65 billion dollars. </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b w:val="1"/>
          <w:bCs w:val="1"/>
        </w:rPr>
      </w:pPr>
      <w:r w:rsidDel="00000000" w:rsidR="00000000" w:rsidRPr="00000000">
        <w:rPr>
          <w:b w:val="1"/>
          <w:bCs w:val="1"/>
          <w:rtl w:val="0"/>
        </w:rPr>
        <w:t xml:space="preserve">The Geoeconomic Encirclement String of Pearls and the BRI: </w:t>
      </w:r>
    </w:p>
    <w:p w:rsidR="00000000" w:rsidDel="00000000" w:rsidP="00000000" w:rsidRDefault="00000000" w:rsidRPr="00000000" w14:paraId="0000000F">
      <w:pPr>
        <w:jc w:val="both"/>
        <w:rPr/>
      </w:pPr>
      <w:r w:rsidDel="00000000" w:rsidR="00000000" w:rsidRPr="00000000">
        <w:rPr>
          <w:rtl w:val="0"/>
        </w:rPr>
        <w:t xml:space="preserve">The strategic convergence of China’s Belt and Road Initiative (BRI) and its maritime "String of Pearls" strategy represents a profound shift in South Asian geopolitics. What began as a series of commercial infrastructure proposals has crystallized into a systematic geoeconomic encirclement of India.</w:t>
      </w:r>
    </w:p>
    <w:p w:rsidR="00000000" w:rsidDel="00000000" w:rsidP="00000000" w:rsidRDefault="00000000" w:rsidRPr="00000000" w14:paraId="00000010">
      <w:pPr>
        <w:jc w:val="both"/>
        <w:rPr/>
      </w:pPr>
      <w:r w:rsidDel="00000000" w:rsidR="00000000" w:rsidRPr="00000000">
        <w:rPr>
          <w:rtl w:val="0"/>
        </w:rPr>
        <w:t xml:space="preserve">​By building dual-use commercial ports, deep sea nodes, and overland energy corridors across Pakistan, Sri Lanka, Bangladesh, Myanmar, and the Maldives, Beijing has structurally linked its economic dominance with permanent military access, establishing a persistent presence on both flanks of the Indian subcontinent.Beijing’s rise in South Asia boils down to speed, scale, and surplus capital. China operates a hyper-efficient, state-backed economic model that treats infrastructure not just as an asset, but as an instrument of long-term grand strategy.Unlike democratic states where infrastructure projects face years of environmental litigation, local protests, and regulatory bottlenecks, Chinese state-owned enterprises (SOEs) deploy rapidly. When a South Asian government requests a deep sea port or a mega-highway, Beijing can greenlight billions of dollars and begin construction within months.</w:t>
      </w:r>
    </w:p>
    <w:p w:rsidR="00000000" w:rsidDel="00000000" w:rsidP="00000000" w:rsidRDefault="00000000" w:rsidRPr="00000000" w14:paraId="00000011">
      <w:pPr>
        <w:jc w:val="both"/>
        <w:rPr/>
      </w:pPr>
      <w:r w:rsidDel="00000000" w:rsidR="00000000" w:rsidRPr="00000000">
        <w:rPr>
          <w:rtl w:val="0"/>
        </w:rPr>
        <w:t xml:space="preserve">China possesses vast industrial overcapacity in steel, cement, and engineering resources. Capitalizing on this through the BRI allows Beijing to export its industrial surplus directly into India's periphery, creating modern logistical nodes like the 65 billion-dollar China-Pakistan Economic Corridor (CPEC) or the Hambantota Port in Sri Lanka. Beijing skillfully exploits the vulnerabilities of smaller regimes by offering capital without demanding political, environmental, or human rights accountability. This makes Chinese state capital the preferred lifeline for cash-strapped administrations looking for fast, highly visible political wins, creating a deep economic path dependency.</w:t>
      </w:r>
    </w:p>
    <w:p w:rsidR="00000000" w:rsidDel="00000000" w:rsidP="00000000" w:rsidRDefault="00000000" w:rsidRPr="00000000" w14:paraId="00000012">
      <w:pPr>
        <w:jc w:val="both"/>
        <w:rPr/>
      </w:pPr>
      <w:r w:rsidDel="00000000" w:rsidR="00000000" w:rsidRPr="00000000">
        <w:rPr>
          <w:rtl w:val="0"/>
        </w:rPr>
        <w:t xml:space="preserve">New Delhi is notorious for promising big but delivering late. Major regional initiatives—such as the Kaladan Multi-Modal Transit Transport Project in Myanmar or joint port developments in Sri Lanka frequently run years behind schedule. This bureaucratic inertia damages India’s credibility as a reliable alternative partner.</w:t>
      </w:r>
    </w:p>
    <w:p w:rsidR="00000000" w:rsidDel="00000000" w:rsidP="00000000" w:rsidRDefault="00000000" w:rsidRPr="00000000" w14:paraId="00000013">
      <w:pPr>
        <w:jc w:val="both"/>
        <w:rPr/>
      </w:pPr>
      <w:r w:rsidDel="00000000" w:rsidR="00000000" w:rsidRPr="00000000">
        <w:rPr>
          <w:rtl w:val="0"/>
        </w:rPr>
        <w:t xml:space="preserve"> India simply lacks the financial capacity to engage in a dollar-for-dollar bidding war with Beijing. India's development assistance budget for its entire neighborhood usually sits at a fraction of a single major Chinese BRI project.For decades, Indian foreign policy suffered from an "entitlement complex" regarding its neighbors. New Delhi assumed that because of shared geography, historical bonds, and deep cultural ties, South Asian nations would naturally remain within its strategic orbit. This passivity allowed China to easily walk in and buy its way into the region's critical infrastructure. </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b w:val="1"/>
          <w:bCs w:val="1"/>
          <w:rtl w:val="0"/>
        </w:rPr>
        <w:t xml:space="preserve">The New Equilibrium:</w:t>
      </w:r>
      <w:r w:rsidDel="00000000" w:rsidR="00000000" w:rsidRPr="00000000">
        <w:rPr>
          <w:rtl w:val="0"/>
        </w:rPr>
        <w:t xml:space="preserve"> </w:t>
      </w:r>
    </w:p>
    <w:p w:rsidR="00000000" w:rsidDel="00000000" w:rsidP="00000000" w:rsidRDefault="00000000" w:rsidRPr="00000000" w14:paraId="00000016">
      <w:pPr>
        <w:jc w:val="both"/>
        <w:rPr/>
      </w:pPr>
      <w:r w:rsidDel="00000000" w:rsidR="00000000" w:rsidRPr="00000000">
        <w:rPr>
          <w:rtl w:val="0"/>
        </w:rPr>
        <w:t xml:space="preserve">China has effectively proved that in modern geopolitics, deep pockets can rewrite geographic realities. While India remains the natural resident power of South Asia, its lack of rapid financial mobilization and project delivery means it is constantly playing catch-up against a disciplined, well-funded Chinese machine that has successfully turned India’s backyard into its personal strategic gateway.</w:t>
      </w:r>
    </w:p>
    <w:p w:rsidR="00000000" w:rsidDel="00000000" w:rsidP="00000000" w:rsidRDefault="00000000" w:rsidRPr="00000000" w14:paraId="00000017">
      <w:pPr>
        <w:jc w:val="both"/>
        <w:rPr/>
      </w:pPr>
      <w:r w:rsidDel="00000000" w:rsidR="00000000" w:rsidRPr="00000000">
        <w:rPr>
          <w:b w:val="1"/>
          <w:bCs w:val="1"/>
          <w:rtl w:val="0"/>
        </w:rPr>
        <w:t xml:space="preserve">Leveraging Elite Capture and Political Volatility:</w:t>
      </w:r>
      <w:r w:rsidDel="00000000" w:rsidR="00000000" w:rsidRPr="00000000">
        <w:rPr>
          <w:rtl w:val="0"/>
        </w:rPr>
        <w:t xml:space="preserve">​ The traditional framework of Indian foreign policy has long rested on a foundational vulnerability an over-reliance on personality-driven diplomacy and the presumption of an ironclad cultural hegemony. For decades, New Delhi operated under the belief that deep historical, social, and linguistic ties would naturally bind South Asian nations to its strategic orbit.</w:t>
      </w:r>
    </w:p>
    <w:p w:rsidR="00000000" w:rsidDel="00000000" w:rsidP="00000000" w:rsidRDefault="00000000" w:rsidRPr="00000000" w14:paraId="00000018">
      <w:pPr>
        <w:jc w:val="both"/>
        <w:rPr/>
      </w:pPr>
      <w:r w:rsidDel="00000000" w:rsidR="00000000" w:rsidRPr="00000000">
        <w:rPr>
          <w:rtl w:val="0"/>
        </w:rPr>
        <w:t xml:space="preserve">​Beijing, however, has systematically demystified this assumption. By treating the political volatility of South Asian democracies not as a risk to be mitigated, but as an entry point to be exploited, China has masterfully perfected the art of elite capture. This strategy involves aligning Chinese state resources with specific political factions, oligarchs, and military leaders, converting routine democratic transitions into structural pivots away from New Delhi.</w:t>
      </w:r>
    </w:p>
    <w:p w:rsidR="00000000" w:rsidDel="00000000" w:rsidP="00000000" w:rsidRDefault="00000000" w:rsidRPr="00000000" w14:paraId="00000019">
      <w:pPr>
        <w:jc w:val="both"/>
        <w:rPr/>
      </w:pPr>
      <w:r w:rsidDel="00000000" w:rsidR="00000000" w:rsidRPr="00000000">
        <w:rPr>
          <w:rtl w:val="0"/>
        </w:rPr>
        <w:t xml:space="preserve">​From an analytical perspective, China's intervention operates on a sophisticated model of asymmetric influence. Where Western institutions or India demand transparency and institutional accountability, Beijing offers unconditional capital aimed at immediate regime survival. When a revisionist political faction is injected with opaque financing, direct investments, and infrastructure pledges, its domestic political fortunes rise. Once in power, these captured elites are structurally incentivized to reciprocate by reorienting national foreign policy. Crucially, Beijing does not merely buy temporary allegiance; it institutionalizes its presence so deeply into the host nation's economic fabric that subsequent administrations find it economically suicidal to unwind the relationship. </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​This dynamic is starkly visible across India's periphery, anchored by compelling statistical realities: </w:t>
      </w:r>
    </w:p>
    <w:p w:rsidR="00000000" w:rsidDel="00000000" w:rsidP="00000000" w:rsidRDefault="00000000" w:rsidRPr="00000000" w14:paraId="0000001C">
      <w:pPr>
        <w:jc w:val="both"/>
        <w:rPr/>
      </w:pPr>
      <w:r w:rsidDel="00000000" w:rsidR="00000000" w:rsidRPr="00000000">
        <w:rPr>
          <w:b w:val="1"/>
          <w:bCs w:val="1"/>
          <w:rtl w:val="0"/>
        </w:rPr>
        <w:t xml:space="preserve">The Maldivian Swing:</w:t>
      </w:r>
      <w:r w:rsidDel="00000000" w:rsidR="00000000" w:rsidRPr="00000000">
        <w:rPr>
          <w:rtl w:val="0"/>
        </w:rPr>
        <w:t xml:space="preserve"> In the Maldives, Beijing successfully turned a hyper-partisan domestic landscape into a zero-sum geopolitical theater. By backing factions that weaponized local anxieties into engineered "India Out" campaigns, China transformed a routine election into a strategic crisis for New Delhi. As of recent financial tallies, the Maldives owes $1.3 billion to China, which accounts for roughly 70% of its total bilateral debt and requires an annual payment of $92 million constituting nearly 10% of the entire Malivian state budget. This leverage was locked in further when the comprehensive China-Maldives Free Trade Agreement officially went into effect on January 1, 2025.  </w:t>
      </w:r>
    </w:p>
    <w:p w:rsidR="00000000" w:rsidDel="00000000" w:rsidP="00000000" w:rsidRDefault="00000000" w:rsidRPr="00000000" w14:paraId="0000001D">
      <w:pPr>
        <w:jc w:val="both"/>
        <w:rPr/>
      </w:pPr>
      <w:r w:rsidDel="00000000" w:rsidR="00000000" w:rsidRPr="00000000">
        <w:rPr>
          <w:b w:val="1"/>
          <w:bCs w:val="1"/>
          <w:rtl w:val="0"/>
        </w:rPr>
        <w:t xml:space="preserve">The Bangladeshi Transition: </w:t>
      </w:r>
      <w:r w:rsidDel="00000000" w:rsidR="00000000" w:rsidRPr="00000000">
        <w:rPr>
          <w:rtl w:val="0"/>
        </w:rPr>
        <w:t xml:space="preserve">The collapse of the Awami League regime shattered India’s personality-driven diplomacy in Dhaka, exposing the risk of conflating one regime's survival with bilateral stability. As New Delhi’s leverage evaporated overnight, Beijing capitalized on a masterclass in risk diversification. China systematically exploited Bangladesh’s deep structural vulnerabilities, leveraging its dominant position as Dhaka's largest trading partner with over 31% import share. More critically, Beijing institutionalized this presence via security dependency, supplying 74% of Bangladesh’s total arms imports including Ming-class submarines and VT5 tanks proving that economic and military statecraft can swiftly override traditional geographical advantages.</w:t>
      </w:r>
    </w:p>
    <w:p w:rsidR="00000000" w:rsidDel="00000000" w:rsidP="00000000" w:rsidRDefault="00000000" w:rsidRPr="00000000" w14:paraId="0000001E">
      <w:pPr>
        <w:jc w:val="both"/>
        <w:rPr/>
      </w:pPr>
      <w:r w:rsidDel="00000000" w:rsidR="00000000" w:rsidRPr="00000000">
        <w:rPr>
          <w:b w:val="1"/>
          <w:bCs w:val="1"/>
          <w:rtl w:val="0"/>
        </w:rPr>
        <w:t xml:space="preserve">The Himalayan Squeeze: </w:t>
      </w:r>
      <w:r w:rsidDel="00000000" w:rsidR="00000000" w:rsidRPr="00000000">
        <w:rPr>
          <w:rtl w:val="0"/>
        </w:rPr>
        <w:t xml:space="preserve">The Himalayan "squeeze" along India’s northern frontier visually demonstrates how state capital can redraw geographic borders. In Nepal, Beijing’s dominance is anchored in cold numbers: according to Nepal’s Economic Survey, China has claimed 48% of total approved Foreign Direct Investment (FDI) and 45.5% of all foreign investment projects, while India's share has shrunk to just 17.9%. Beijing effectively converts this economic primacy into political leverage, collaborating with domestic communist factions and building trans-Himalayan trade corridors to systematically loosen Kathmandu’s historic, open-border reliance on New Delhi.  Simultaneously, Bhutan traditionally India’s most reliable security partner—faces a coordinated "coercion and inducement" strategy. By pairing persistent grey-zone border incursions with the promise of a finalized boundary settlement, Beijing is putting immense pressure on Thimphu to establish formal bilateral ties, effectively fracturing India's vital Himalayan buffer zone.</w:t>
      </w:r>
    </w:p>
    <w:p w:rsidR="00000000" w:rsidDel="00000000" w:rsidP="00000000" w:rsidRDefault="00000000" w:rsidRPr="00000000" w14:paraId="0000001F">
      <w:pPr>
        <w:jc w:val="both"/>
        <w:rPr>
          <w:b w:val="1"/>
          <w:bCs w:val="1"/>
        </w:rPr>
      </w:pPr>
      <w:r w:rsidDel="00000000" w:rsidR="00000000" w:rsidRPr="00000000">
        <w:rPr>
          <w:rtl w:val="0"/>
        </w:rPr>
      </w:r>
    </w:p>
    <w:p w:rsidR="00000000" w:rsidDel="00000000" w:rsidP="00000000" w:rsidRDefault="00000000" w:rsidRPr="00000000" w14:paraId="00000020">
      <w:pPr>
        <w:jc w:val="both"/>
        <w:rPr>
          <w:b w:val="1"/>
          <w:bCs w:val="1"/>
        </w:rPr>
      </w:pPr>
      <w:r w:rsidDel="00000000" w:rsidR="00000000" w:rsidRPr="00000000">
        <w:rPr>
          <w:b w:val="1"/>
          <w:bCs w:val="1"/>
          <w:rtl w:val="0"/>
        </w:rPr>
        <w:t xml:space="preserve">Financial Statecraft Asymmetric Interdependence: </w:t>
      </w:r>
    </w:p>
    <w:p w:rsidR="00000000" w:rsidDel="00000000" w:rsidP="00000000" w:rsidRDefault="00000000" w:rsidRPr="00000000" w14:paraId="00000021">
      <w:pPr>
        <w:jc w:val="both"/>
        <w:rPr/>
      </w:pPr>
      <w:r w:rsidDel="00000000" w:rsidR="00000000" w:rsidRPr="00000000">
        <w:rPr>
          <w:rtl w:val="0"/>
        </w:rPr>
        <w:t xml:space="preserve">The real struggle for hegemony in South Asia is waged on the national balance sheets of smaller peripheral states. India's "Neighbourhood First" policy relied heavily on historical convenience and geographic proximity to keep neighbours aligned. However, Beijing has inverted this framework. Through a highly strategic implementation of financial statecraft, China has proven that multi-billion-dollar sovereign liquidity can rewrite the natural realities of physical proximity, forcing India to play catch-up.China utilizes its massive foreign exchange reserves to inject rapid, un-bureaucratic capital into high-visibility infrastructure. Globally, China’s cumulative Belt and Road Initiative (BRI) engagement reached $1.399 trillion, with 2025 hitting a historic peak of $213.5 billion in total annual contracts. By financing massive projects that traditional lenders avoid due to viability concerns, China embeds its State-Owned Enterprises (SOEs) directly into the sovereign fabric of India’s neighbors.  When these capital-intensive projects fail to generate immediate commercial returns to service high-interest debt, Beijing converts financial distress into geopolitical leverage. This was demonstrated when Sri Lanka was forced into a 99-year lease surrendering 15,000 acres of land around the $1.1 billion Hambantota Port to a Chinese state enterprise.China has expanded its footprint from state-led lending to aggressive private-sector integration. In Bangladesh, following a transformative $40 billion infrastructure pledge, China systematically closed the gap to become Dhaka's top importing partner, supplying over 31% of total imports and creating a structural reliance that India cannot easily disrupt</w:t>
      </w:r>
    </w:p>
    <w:p w:rsidR="00000000" w:rsidDel="00000000" w:rsidP="00000000" w:rsidRDefault="00000000" w:rsidRPr="00000000" w14:paraId="00000022">
      <w:pPr>
        <w:jc w:val="both"/>
        <w:rPr/>
      </w:pPr>
      <w:r w:rsidDel="00000000" w:rsidR="00000000" w:rsidRPr="00000000">
        <w:rPr>
          <w:rtl w:val="0"/>
        </w:rPr>
        <w:t xml:space="preserve">India’s development assistance model relies on Lines of Credit (LOCs) and grants. While India has significantly enhanced its domestic public capex to a record ₹12.2 lakh crore ($146 billion), the vast majority of this capital is strictly required for its own internal infrastructure. India’s overall developmental budget for its entire external neighborhood remains a tiny fraction of China's localized BRI investments. Indian regional projects are notorious for execution delays. Major cross-border initiatives frequently suffer from regulatory bottlenecks and prolonged domestic administrative reviews. This slow implementation frustrates smaller nations seeking rapid economic stabilization, making Beijing’s ready-to-deploy construction consortia a highly attractive alternative. For decades, Indian foreign policy operated on an "entitlement complex," assuming that shared culture and geography would automatically keep neighbors within its strategic orbit. This passivity allowed China to step into the infrastructure vacuum completely unimpeded.</w:t>
      </w:r>
    </w:p>
    <w:p w:rsidR="00000000" w:rsidDel="00000000" w:rsidP="00000000" w:rsidRDefault="00000000" w:rsidRPr="00000000" w14:paraId="00000023">
      <w:pPr>
        <w:jc w:val="both"/>
        <w:rPr>
          <w:b w:val="1"/>
          <w:bCs w:val="1"/>
        </w:rPr>
      </w:pPr>
      <w:r w:rsidDel="00000000" w:rsidR="00000000" w:rsidRPr="00000000">
        <w:rPr>
          <w:rtl w:val="0"/>
        </w:rPr>
      </w:r>
    </w:p>
    <w:p w:rsidR="00000000" w:rsidDel="00000000" w:rsidP="00000000" w:rsidRDefault="00000000" w:rsidRPr="00000000" w14:paraId="00000024">
      <w:pPr>
        <w:jc w:val="both"/>
        <w:rPr>
          <w:b w:val="1"/>
          <w:bCs w:val="1"/>
        </w:rPr>
      </w:pPr>
      <w:r w:rsidDel="00000000" w:rsidR="00000000" w:rsidRPr="00000000">
        <w:rPr>
          <w:b w:val="1"/>
          <w:bCs w:val="1"/>
          <w:rtl w:val="0"/>
        </w:rPr>
        <w:t xml:space="preserve">The Rise of Strategic Agency, Smaller States as Geopolitical Players: </w:t>
      </w:r>
    </w:p>
    <w:p w:rsidR="00000000" w:rsidDel="00000000" w:rsidP="00000000" w:rsidRDefault="00000000" w:rsidRPr="00000000" w14:paraId="00000025">
      <w:pPr>
        <w:jc w:val="both"/>
        <w:rPr/>
      </w:pPr>
      <w:r w:rsidDel="00000000" w:rsidR="00000000" w:rsidRPr="00000000">
        <w:rPr>
          <w:rtl w:val="0"/>
        </w:rPr>
        <w:t xml:space="preserve">The long-standing geopolitical narrative surrounding South Asia frequently paints smaller states as helpless, passive victims caught in the maw of Chinese predatory lending. This perspective, however, fundamentally miscalculates the sophisticated diplomatic maneuvers occurring within the subcontinental periphery. Far from being blind pawns of Beijing's expansionist architecture, nations such as Sri Lanka, Bangladesh, and Nepal have demonstrated immense strategic agency. By intentionally exploiting the structural rivalry between New Delhi and Beijing, these smaller sovereign states have transformed a high-stakes bilateral competition into a mechanism for maximizing their own domestic autonomy and bargaining leverage, shattering the age-old assumption that physical proximity grants India an unchallengeable monopoly over their alignment.</w:t>
      </w:r>
    </w:p>
    <w:p w:rsidR="00000000" w:rsidDel="00000000" w:rsidP="00000000" w:rsidRDefault="00000000" w:rsidRPr="00000000" w14:paraId="00000026">
      <w:pPr>
        <w:jc w:val="both"/>
        <w:rPr/>
      </w:pPr>
      <w:r w:rsidDel="00000000" w:rsidR="00000000" w:rsidRPr="00000000">
        <w:rPr>
          <w:rtl w:val="0"/>
        </w:rPr>
        <w:t xml:space="preserve">​At the core of this regional survival strategy is the practice of multi-vector hedging. The smaller capitals of South Asia are acutely aware that New Delhi views any expanding Chinese footprint on its doorstep with profound, existential anxiety. Rather than retreating from this friction, peripheral states intentionally lean into it, utilizing Beijing’s massive financial alternatives as an economic counterweight. When India hesitates to fund a capital-intensive project due to bureaucratic inertia, or when New Delhi attaches stringent political and strategic conditions to its developmental aid, these nations systematically court Chinese state-owned enterprises. This is a calculated play to force India's hand. By maintaining a credible alternative investor in Beijing, smaller states effectively eliminate India’s ability to unilaterally dictate regional terms, converting what was once an exclusive Indian sphere of influence into a competitive buyers' market.</w:t>
      </w:r>
    </w:p>
    <w:p w:rsidR="00000000" w:rsidDel="00000000" w:rsidP="00000000" w:rsidRDefault="00000000" w:rsidRPr="00000000" w14:paraId="00000027">
      <w:pPr>
        <w:jc w:val="both"/>
        <w:rPr/>
      </w:pPr>
      <w:r w:rsidDel="00000000" w:rsidR="00000000" w:rsidRPr="00000000">
        <w:rPr>
          <w:rtl w:val="0"/>
        </w:rPr>
        <w:t xml:space="preserve">The "safety-net play" exemplifies how smaller South Asian nations deploy strategic agency to navigate major-power rivalry. While absorbing rapid, non-concessional Chinese capital for infrastructure, these states exploit India’s geopolitical anxieties to mitigate sovereign default risks. This structural balancing was evident during Sri Lanka's economic crisis; when Beijing hesitated on debt flexibility, New Delhi acted as a critical first responder with a $4 billion emergency stabilization package. Rather than alienating China, this intervention re-stabilized Colombo's position to secure long-term debt-restructuring with Beijing. </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b w:val="1"/>
          <w:bCs w:val="1"/>
        </w:rPr>
      </w:pPr>
      <w:r w:rsidDel="00000000" w:rsidR="00000000" w:rsidRPr="00000000">
        <w:rPr>
          <w:b w:val="1"/>
          <w:bCs w:val="1"/>
          <w:rtl w:val="0"/>
        </w:rPr>
        <w:t xml:space="preserve">The Militarization of the Backyard: </w:t>
      </w:r>
    </w:p>
    <w:p w:rsidR="00000000" w:rsidDel="00000000" w:rsidP="00000000" w:rsidRDefault="00000000" w:rsidRPr="00000000" w14:paraId="0000002A">
      <w:pPr>
        <w:jc w:val="both"/>
        <w:rPr/>
      </w:pPr>
      <w:r w:rsidDel="00000000" w:rsidR="00000000" w:rsidRPr="00000000">
        <w:rPr>
          <w:rtl w:val="0"/>
        </w:rPr>
        <w:t xml:space="preserve">The final and most critical layer of Beijing’s encirclement of South Asia is the rapid transition from commercial and financial penetration to overt militarization. China’s "String of Pearls" and the Belt and Road Initiative (BRI) were initially packaged under the guise of "peaceful economic connectivity." However, contemporary geopolitical realities reveal that Beijing has methodically converted these commercial choke points into active platforms for military leverage, power projection, and defense interoperability directly along India's geographic borders. This militarization operates through a highly coordinated, dual-pronged strategy: Grey-Zone Maritime Espionage and Defense-Industrial Interoperability.</w:t>
      </w:r>
    </w:p>
    <w:p w:rsidR="00000000" w:rsidDel="00000000" w:rsidP="00000000" w:rsidRDefault="00000000" w:rsidRPr="00000000" w14:paraId="0000002B">
      <w:pPr>
        <w:jc w:val="both"/>
        <w:rPr/>
      </w:pPr>
      <w:r w:rsidDel="00000000" w:rsidR="00000000" w:rsidRPr="00000000">
        <w:rPr>
          <w:rtl w:val="0"/>
        </w:rPr>
        <w:t xml:space="preserve">​Under its state-mandated Military-Civil Fusion strategy, China projects naval power while skillfully avoiding the regional and global blowback that would accompany the deployment of heavily armed combat warships into South Asian ports. Instead, Beijing relies on the "Spy Ship" Conundrum, deploying a massive, state-owned fleet of dual-use oceanographic research and survey vessels. Officially designated as civilian scientific platforms, ships such as the Yuan Wang tracking class, the Xiang Yang Hong series, and the Da Yang Hao function in practice as highly sophisticated intelligence-gathering nodes.</w:t>
      </w:r>
    </w:p>
    <w:p w:rsidR="00000000" w:rsidDel="00000000" w:rsidP="00000000" w:rsidRDefault="00000000" w:rsidRPr="00000000" w14:paraId="0000002C">
      <w:pPr>
        <w:jc w:val="both"/>
        <w:rPr/>
      </w:pPr>
      <w:r w:rsidDel="00000000" w:rsidR="00000000" w:rsidRPr="00000000">
        <w:rPr>
          <w:rtl w:val="0"/>
        </w:rPr>
        <w:t xml:space="preserve">​These vessels conduct extensive, "lawnmower-pattern" subsurface battleground mapping across the Bay of Bengal and the Arabian Sea. By gathering critical bathymetric, hydrographic, and acoustic profiling data, they map deep-water sound channels. This data is fed directly to the People's Liberation Army Navy (PLAN), enabling Chinese nuclear submarines to navigate the Indian Ocean undetected while systematically compromising India's anti-submarine warfare (ASW) defenses. Furthermore, Beijing deploys these clusters for telemetry and missile sniffing, tracking Indian military milestones in real time. Whenever New Delhi issues long-range flight bans for sensitive testssuch as Submarine Launched Ballistic Missiles (SLBMs) or the Agni-5 MIRV missile Chinese survey ships position themselves inside the test corridors to intercept telemetry data and analyze Indian radar signatures</w:t>
      </w:r>
    </w:p>
    <w:p w:rsidR="00000000" w:rsidDel="00000000" w:rsidP="00000000" w:rsidRDefault="00000000" w:rsidRPr="00000000" w14:paraId="0000002D">
      <w:pPr>
        <w:jc w:val="both"/>
        <w:rPr/>
      </w:pPr>
      <w:r w:rsidDel="00000000" w:rsidR="00000000" w:rsidRPr="00000000">
        <w:rPr>
          <w:rtl w:val="0"/>
        </w:rPr>
        <w:t xml:space="preserve">Beijing is rewiring South Asia’s defense frameworks by anchoring deep hardware dependencies, supplying 74% of Bangladesh’s and 61% of Pakistan’s arms. This lock-in guarantees a permanent presence of Chinese military advisors near India, shattering traditional geographic buffer zones and transforming the periphery into a volatile frontline of major-power friction.</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b w:val="1"/>
          <w:bCs w:val="1"/>
        </w:rPr>
      </w:pPr>
      <w:r w:rsidDel="00000000" w:rsidR="00000000" w:rsidRPr="00000000">
        <w:rPr>
          <w:b w:val="1"/>
          <w:bCs w:val="1"/>
          <w:rtl w:val="0"/>
        </w:rPr>
        <w:t xml:space="preserve">Conclusion : </w:t>
      </w:r>
    </w:p>
    <w:p w:rsidR="00000000" w:rsidDel="00000000" w:rsidP="00000000" w:rsidRDefault="00000000" w:rsidRPr="00000000" w14:paraId="00000032">
      <w:pPr>
        <w:jc w:val="both"/>
        <w:rPr/>
      </w:pPr>
      <w:r w:rsidDel="00000000" w:rsidR="00000000" w:rsidRPr="00000000">
        <w:rPr>
          <w:rtl w:val="0"/>
        </w:rPr>
        <w:t xml:space="preserve">India's Neighbourhood First policy has reached a decisive turning point. The traditional belief that geography, history, and cultural ties would ensure India's regional primacy has been challenged by China's strategic use of economic statecraft, infrastructure investment, financial leverage, defence cooperation, and diplomatic engagement. Through the Belt and Road Initiative (BRI) and the String of Pearls strategy, Beijing has transformed South Asia into a contested geopolitical arena. At the same time, smaller South Asian states have demonstrated growing strategic agency by balancing India and China to maximize their own economic and political interests. Consequently, India must move beyond assumptions of natural influence and adopt a more competitive, responsive, and delivery-oriented regional strategy. Faster infrastructure execution, stronger economic partnerships, resilient supply chains, credible security cooperation, and sustained institutional engagement will be essential. Ultimately, regional influence in the Indo-Pacific will be determined not by geographic proximity or historical ties, but by the consistent ability to deliver development, security, and long-term strategic trust.</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b w:val="1"/>
          <w:bCs w:val="1"/>
          <w:rtl w:val="0"/>
        </w:rPr>
        <w:t xml:space="preserve">References:</w:t>
      </w:r>
      <w:r w:rsidDel="00000000" w:rsidR="00000000" w:rsidRPr="00000000">
        <w:rPr>
          <w:rtl w:val="0"/>
        </w:rPr>
        <w:t xml:space="preserve"> </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i w:val="1"/>
          <w:iCs w:val="1"/>
        </w:rPr>
      </w:pPr>
      <w:r w:rsidDel="00000000" w:rsidR="00000000" w:rsidRPr="00000000">
        <w:rPr>
          <w:i w:val="1"/>
          <w:iCs w:val="1"/>
          <w:rtl w:val="0"/>
        </w:rPr>
        <w:t xml:space="preserve">Asian Development Bank. (2024). Asian Development Outlook 2024. </w:t>
      </w:r>
      <w:hyperlink r:id="rId6">
        <w:r w:rsidDel="00000000" w:rsidR="00000000" w:rsidRPr="00000000">
          <w:rPr>
            <w:i w:val="1"/>
            <w:iCs w:val="1"/>
            <w:color w:val="1155cc"/>
            <w:u w:val="single"/>
            <w:rtl w:val="0"/>
          </w:rPr>
          <w:t xml:space="preserve">https://www.adb.org</w:t>
        </w:r>
      </w:hyperlink>
      <w:r w:rsidDel="00000000" w:rsidR="00000000" w:rsidRPr="00000000">
        <w:rPr>
          <w:i w:val="1"/>
          <w:iCs w:val="1"/>
          <w:rtl w:val="0"/>
        </w:rPr>
        <w:t xml:space="preserve"> </w:t>
      </w:r>
    </w:p>
    <w:p w:rsidR="00000000" w:rsidDel="00000000" w:rsidP="00000000" w:rsidRDefault="00000000" w:rsidRPr="00000000" w14:paraId="00000038">
      <w:pPr>
        <w:jc w:val="both"/>
        <w:rPr>
          <w:i w:val="1"/>
          <w:iCs w:val="1"/>
        </w:rPr>
      </w:pPr>
      <w:r w:rsidDel="00000000" w:rsidR="00000000" w:rsidRPr="00000000">
        <w:rPr>
          <w:rtl w:val="0"/>
        </w:rPr>
      </w:r>
    </w:p>
    <w:p w:rsidR="00000000" w:rsidDel="00000000" w:rsidP="00000000" w:rsidRDefault="00000000" w:rsidRPr="00000000" w14:paraId="00000039">
      <w:pPr>
        <w:jc w:val="both"/>
        <w:rPr>
          <w:i w:val="1"/>
          <w:iCs w:val="1"/>
        </w:rPr>
      </w:pPr>
      <w:r w:rsidDel="00000000" w:rsidR="00000000" w:rsidRPr="00000000">
        <w:rPr>
          <w:i w:val="1"/>
          <w:iCs w:val="1"/>
          <w:rtl w:val="0"/>
        </w:rPr>
        <w:t xml:space="preserve">AidData. (2021). Banking on the Belt and Road: Insights from a new global dataset of 13,427 Chinese development projects. </w:t>
      </w:r>
    </w:p>
    <w:p w:rsidR="00000000" w:rsidDel="00000000" w:rsidP="00000000" w:rsidRDefault="00000000" w:rsidRPr="00000000" w14:paraId="0000003A">
      <w:pPr>
        <w:jc w:val="both"/>
        <w:rPr>
          <w:i w:val="1"/>
          <w:iCs w:val="1"/>
        </w:rPr>
      </w:pPr>
      <w:r w:rsidDel="00000000" w:rsidR="00000000" w:rsidRPr="00000000">
        <w:rPr>
          <w:rtl w:val="0"/>
        </w:rPr>
      </w:r>
    </w:p>
    <w:p w:rsidR="00000000" w:rsidDel="00000000" w:rsidP="00000000" w:rsidRDefault="00000000" w:rsidRPr="00000000" w14:paraId="0000003B">
      <w:pPr>
        <w:jc w:val="both"/>
        <w:rPr>
          <w:i w:val="1"/>
          <w:iCs w:val="1"/>
        </w:rPr>
      </w:pPr>
      <w:r w:rsidDel="00000000" w:rsidR="00000000" w:rsidRPr="00000000">
        <w:rPr>
          <w:i w:val="1"/>
          <w:iCs w:val="1"/>
          <w:rtl w:val="0"/>
        </w:rPr>
        <w:t xml:space="preserve">William &amp; Mary. https://www.aiddata.org</w:t>
      </w:r>
    </w:p>
    <w:p w:rsidR="00000000" w:rsidDel="00000000" w:rsidP="00000000" w:rsidRDefault="00000000" w:rsidRPr="00000000" w14:paraId="0000003C">
      <w:pPr>
        <w:jc w:val="both"/>
        <w:rPr>
          <w:i w:val="1"/>
          <w:iCs w:val="1"/>
        </w:rPr>
      </w:pPr>
      <w:r w:rsidDel="00000000" w:rsidR="00000000" w:rsidRPr="00000000">
        <w:rPr>
          <w:i w:val="1"/>
          <w:iCs w:val="1"/>
          <w:rtl w:val="0"/>
        </w:rPr>
        <w:t xml:space="preserve">Centre for Strategic and International Studies. (2024). China Power Project. </w:t>
      </w:r>
      <w:hyperlink r:id="rId7">
        <w:r w:rsidDel="00000000" w:rsidR="00000000" w:rsidRPr="00000000">
          <w:rPr>
            <w:i w:val="1"/>
            <w:iCs w:val="1"/>
            <w:color w:val="1155cc"/>
            <w:u w:val="single"/>
            <w:rtl w:val="0"/>
          </w:rPr>
          <w:t xml:space="preserve">https://chinapower.csis.org</w:t>
        </w:r>
      </w:hyperlink>
      <w:r w:rsidDel="00000000" w:rsidR="00000000" w:rsidRPr="00000000">
        <w:rPr>
          <w:i w:val="1"/>
          <w:iCs w:val="1"/>
          <w:rtl w:val="0"/>
        </w:rPr>
        <w:t xml:space="preserve"> </w:t>
      </w:r>
    </w:p>
    <w:p w:rsidR="00000000" w:rsidDel="00000000" w:rsidP="00000000" w:rsidRDefault="00000000" w:rsidRPr="00000000" w14:paraId="0000003D">
      <w:pPr>
        <w:jc w:val="both"/>
        <w:rPr>
          <w:i w:val="1"/>
          <w:iCs w:val="1"/>
        </w:rPr>
      </w:pPr>
      <w:r w:rsidDel="00000000" w:rsidR="00000000" w:rsidRPr="00000000">
        <w:rPr>
          <w:rtl w:val="0"/>
        </w:rPr>
      </w:r>
    </w:p>
    <w:p w:rsidR="00000000" w:rsidDel="00000000" w:rsidP="00000000" w:rsidRDefault="00000000" w:rsidRPr="00000000" w14:paraId="0000003E">
      <w:pPr>
        <w:jc w:val="both"/>
        <w:rPr>
          <w:i w:val="1"/>
          <w:iCs w:val="1"/>
        </w:rPr>
      </w:pPr>
      <w:r w:rsidDel="00000000" w:rsidR="00000000" w:rsidRPr="00000000">
        <w:rPr>
          <w:i w:val="1"/>
          <w:iCs w:val="1"/>
          <w:rtl w:val="0"/>
        </w:rPr>
        <w:t xml:space="preserve">Government of India, Ministry of Commerce and Industry. (2025). Export-Import Data Bank.  </w:t>
      </w:r>
      <w:hyperlink r:id="rId8">
        <w:r w:rsidDel="00000000" w:rsidR="00000000" w:rsidRPr="00000000">
          <w:rPr>
            <w:i w:val="1"/>
            <w:iCs w:val="1"/>
            <w:color w:val="1155cc"/>
            <w:u w:val="single"/>
            <w:rtl w:val="0"/>
          </w:rPr>
          <w:t xml:space="preserve">https://tradestat.commerce.gov.in</w:t>
        </w:r>
      </w:hyperlink>
      <w:r w:rsidDel="00000000" w:rsidR="00000000" w:rsidRPr="00000000">
        <w:rPr>
          <w:i w:val="1"/>
          <w:iCs w:val="1"/>
          <w:rtl w:val="0"/>
        </w:rPr>
        <w:t xml:space="preserve"> </w:t>
      </w:r>
    </w:p>
    <w:p w:rsidR="00000000" w:rsidDel="00000000" w:rsidP="00000000" w:rsidRDefault="00000000" w:rsidRPr="00000000" w14:paraId="0000003F">
      <w:pPr>
        <w:jc w:val="both"/>
        <w:rPr>
          <w:i w:val="1"/>
          <w:iCs w:val="1"/>
        </w:rPr>
      </w:pPr>
      <w:r w:rsidDel="00000000" w:rsidR="00000000" w:rsidRPr="00000000">
        <w:rPr>
          <w:rtl w:val="0"/>
        </w:rPr>
      </w:r>
    </w:p>
    <w:p w:rsidR="00000000" w:rsidDel="00000000" w:rsidP="00000000" w:rsidRDefault="00000000" w:rsidRPr="00000000" w14:paraId="00000040">
      <w:pPr>
        <w:jc w:val="both"/>
        <w:rPr>
          <w:i w:val="1"/>
          <w:iCs w:val="1"/>
        </w:rPr>
      </w:pPr>
      <w:r w:rsidDel="00000000" w:rsidR="00000000" w:rsidRPr="00000000">
        <w:rPr>
          <w:i w:val="1"/>
          <w:iCs w:val="1"/>
          <w:rtl w:val="0"/>
        </w:rPr>
        <w:t xml:space="preserve">Government of India, Ministry of External Affairs. (2025). Annual Report 2024–25. </w:t>
      </w:r>
      <w:hyperlink r:id="rId9">
        <w:r w:rsidDel="00000000" w:rsidR="00000000" w:rsidRPr="00000000">
          <w:rPr>
            <w:i w:val="1"/>
            <w:iCs w:val="1"/>
            <w:color w:val="1155cc"/>
            <w:u w:val="single"/>
            <w:rtl w:val="0"/>
          </w:rPr>
          <w:t xml:space="preserve">https://www.mea.gov.in</w:t>
        </w:r>
      </w:hyperlink>
      <w:r w:rsidDel="00000000" w:rsidR="00000000" w:rsidRPr="00000000">
        <w:rPr>
          <w:i w:val="1"/>
          <w:iCs w:val="1"/>
          <w:rtl w:val="0"/>
        </w:rPr>
        <w:t xml:space="preserve"> </w:t>
      </w:r>
    </w:p>
    <w:p w:rsidR="00000000" w:rsidDel="00000000" w:rsidP="00000000" w:rsidRDefault="00000000" w:rsidRPr="00000000" w14:paraId="00000041">
      <w:pPr>
        <w:jc w:val="both"/>
        <w:rPr>
          <w:i w:val="1"/>
          <w:iCs w:val="1"/>
        </w:rPr>
      </w:pPr>
      <w:r w:rsidDel="00000000" w:rsidR="00000000" w:rsidRPr="00000000">
        <w:rPr>
          <w:rtl w:val="0"/>
        </w:rPr>
      </w:r>
    </w:p>
    <w:p w:rsidR="00000000" w:rsidDel="00000000" w:rsidP="00000000" w:rsidRDefault="00000000" w:rsidRPr="00000000" w14:paraId="00000042">
      <w:pPr>
        <w:jc w:val="both"/>
        <w:rPr>
          <w:i w:val="1"/>
          <w:iCs w:val="1"/>
        </w:rPr>
      </w:pPr>
      <w:r w:rsidDel="00000000" w:rsidR="00000000" w:rsidRPr="00000000">
        <w:rPr>
          <w:i w:val="1"/>
          <w:iCs w:val="1"/>
          <w:rtl w:val="0"/>
        </w:rPr>
        <w:t xml:space="preserve">Government of India, Ministry of Finance. (2025). Economic Survey 2024–25. </w:t>
      </w:r>
      <w:hyperlink r:id="rId10">
        <w:r w:rsidDel="00000000" w:rsidR="00000000" w:rsidRPr="00000000">
          <w:rPr>
            <w:i w:val="1"/>
            <w:iCs w:val="1"/>
            <w:color w:val="1155cc"/>
            <w:u w:val="single"/>
            <w:rtl w:val="0"/>
          </w:rPr>
          <w:t xml:space="preserve">https://www.indiabudget.gov.in</w:t>
        </w:r>
      </w:hyperlink>
      <w:r w:rsidDel="00000000" w:rsidR="00000000" w:rsidRPr="00000000">
        <w:rPr>
          <w:i w:val="1"/>
          <w:iCs w:val="1"/>
          <w:rtl w:val="0"/>
        </w:rPr>
        <w:t xml:space="preserve"> </w:t>
      </w:r>
    </w:p>
    <w:p w:rsidR="00000000" w:rsidDel="00000000" w:rsidP="00000000" w:rsidRDefault="00000000" w:rsidRPr="00000000" w14:paraId="00000043">
      <w:pPr>
        <w:jc w:val="both"/>
        <w:rPr>
          <w:i w:val="1"/>
          <w:iCs w:val="1"/>
        </w:rPr>
      </w:pPr>
      <w:r w:rsidDel="00000000" w:rsidR="00000000" w:rsidRPr="00000000">
        <w:rPr>
          <w:rtl w:val="0"/>
        </w:rPr>
      </w:r>
    </w:p>
    <w:p w:rsidR="00000000" w:rsidDel="00000000" w:rsidP="00000000" w:rsidRDefault="00000000" w:rsidRPr="00000000" w14:paraId="00000044">
      <w:pPr>
        <w:jc w:val="both"/>
        <w:rPr>
          <w:i w:val="1"/>
          <w:iCs w:val="1"/>
        </w:rPr>
      </w:pPr>
      <w:r w:rsidDel="00000000" w:rsidR="00000000" w:rsidRPr="00000000">
        <w:rPr>
          <w:i w:val="1"/>
          <w:iCs w:val="1"/>
          <w:rtl w:val="0"/>
        </w:rPr>
        <w:t xml:space="preserve">Government of Nepal, Ministry of Finance. (2024). Economic Survey 2023/24. </w:t>
      </w:r>
      <w:hyperlink r:id="rId11">
        <w:r w:rsidDel="00000000" w:rsidR="00000000" w:rsidRPr="00000000">
          <w:rPr>
            <w:i w:val="1"/>
            <w:iCs w:val="1"/>
            <w:color w:val="1155cc"/>
            <w:u w:val="single"/>
            <w:rtl w:val="0"/>
          </w:rPr>
          <w:t xml:space="preserve">https://www.mof.gov.np</w:t>
        </w:r>
      </w:hyperlink>
      <w:r w:rsidDel="00000000" w:rsidR="00000000" w:rsidRPr="00000000">
        <w:rPr>
          <w:i w:val="1"/>
          <w:iCs w:val="1"/>
          <w:rtl w:val="0"/>
        </w:rPr>
        <w:t xml:space="preserve"> </w:t>
      </w:r>
    </w:p>
    <w:p w:rsidR="00000000" w:rsidDel="00000000" w:rsidP="00000000" w:rsidRDefault="00000000" w:rsidRPr="00000000" w14:paraId="00000045">
      <w:pPr>
        <w:jc w:val="both"/>
        <w:rPr>
          <w:i w:val="1"/>
          <w:iCs w:val="1"/>
        </w:rPr>
      </w:pPr>
      <w:r w:rsidDel="00000000" w:rsidR="00000000" w:rsidRPr="00000000">
        <w:rPr>
          <w:rtl w:val="0"/>
        </w:rPr>
      </w:r>
    </w:p>
    <w:p w:rsidR="00000000" w:rsidDel="00000000" w:rsidP="00000000" w:rsidRDefault="00000000" w:rsidRPr="00000000" w14:paraId="00000046">
      <w:pPr>
        <w:jc w:val="both"/>
        <w:rPr>
          <w:i w:val="1"/>
          <w:iCs w:val="1"/>
        </w:rPr>
      </w:pPr>
      <w:r w:rsidDel="00000000" w:rsidR="00000000" w:rsidRPr="00000000">
        <w:rPr>
          <w:i w:val="1"/>
          <w:iCs w:val="1"/>
          <w:rtl w:val="0"/>
        </w:rPr>
        <w:t xml:space="preserve">International Institute for Strategic Studies. (2025). The Military Balance 2025. Routledge. </w:t>
      </w:r>
    </w:p>
    <w:p w:rsidR="00000000" w:rsidDel="00000000" w:rsidP="00000000" w:rsidRDefault="00000000" w:rsidRPr="00000000" w14:paraId="00000047">
      <w:pPr>
        <w:jc w:val="both"/>
        <w:rPr>
          <w:i w:val="1"/>
          <w:iCs w:val="1"/>
        </w:rPr>
      </w:pPr>
      <w:r w:rsidDel="00000000" w:rsidR="00000000" w:rsidRPr="00000000">
        <w:rPr>
          <w:rtl w:val="0"/>
        </w:rPr>
      </w:r>
    </w:p>
    <w:p w:rsidR="00000000" w:rsidDel="00000000" w:rsidP="00000000" w:rsidRDefault="00000000" w:rsidRPr="00000000" w14:paraId="00000048">
      <w:pPr>
        <w:jc w:val="both"/>
        <w:rPr>
          <w:i w:val="1"/>
          <w:iCs w:val="1"/>
        </w:rPr>
      </w:pPr>
      <w:r w:rsidDel="00000000" w:rsidR="00000000" w:rsidRPr="00000000">
        <w:rPr>
          <w:i w:val="1"/>
          <w:iCs w:val="1"/>
          <w:rtl w:val="0"/>
        </w:rPr>
        <w:t xml:space="preserve">Jaishankar, S. (2020). The India Way: Strategies for an Uncertain World. HarperCollins India. </w:t>
      </w:r>
    </w:p>
    <w:p w:rsidR="00000000" w:rsidDel="00000000" w:rsidP="00000000" w:rsidRDefault="00000000" w:rsidRPr="00000000" w14:paraId="00000049">
      <w:pPr>
        <w:jc w:val="both"/>
        <w:rPr>
          <w:i w:val="1"/>
          <w:iCs w:val="1"/>
        </w:rPr>
      </w:pPr>
      <w:r w:rsidDel="00000000" w:rsidR="00000000" w:rsidRPr="00000000">
        <w:rPr>
          <w:rtl w:val="0"/>
        </w:rPr>
      </w:r>
    </w:p>
    <w:p w:rsidR="00000000" w:rsidDel="00000000" w:rsidP="00000000" w:rsidRDefault="00000000" w:rsidRPr="00000000" w14:paraId="0000004A">
      <w:pPr>
        <w:jc w:val="both"/>
        <w:rPr>
          <w:i w:val="1"/>
          <w:iCs w:val="1"/>
        </w:rPr>
      </w:pPr>
      <w:r w:rsidDel="00000000" w:rsidR="00000000" w:rsidRPr="00000000">
        <w:rPr>
          <w:i w:val="1"/>
          <w:iCs w:val="1"/>
          <w:rtl w:val="0"/>
        </w:rPr>
        <w:t xml:space="preserve">Lowy Institute. (2024). Asia Power Index 2024. </w:t>
      </w:r>
      <w:hyperlink r:id="rId12">
        <w:r w:rsidDel="00000000" w:rsidR="00000000" w:rsidRPr="00000000">
          <w:rPr>
            <w:i w:val="1"/>
            <w:iCs w:val="1"/>
            <w:color w:val="1155cc"/>
            <w:u w:val="single"/>
            <w:rtl w:val="0"/>
          </w:rPr>
          <w:t xml:space="preserve">https://power.lowyinstitute.org</w:t>
        </w:r>
      </w:hyperlink>
      <w:r w:rsidDel="00000000" w:rsidR="00000000" w:rsidRPr="00000000">
        <w:rPr>
          <w:i w:val="1"/>
          <w:iCs w:val="1"/>
          <w:rtl w:val="0"/>
        </w:rPr>
        <w:t xml:space="preserve"> </w:t>
      </w:r>
    </w:p>
    <w:p w:rsidR="00000000" w:rsidDel="00000000" w:rsidP="00000000" w:rsidRDefault="00000000" w:rsidRPr="00000000" w14:paraId="0000004B">
      <w:pPr>
        <w:jc w:val="both"/>
        <w:rPr>
          <w:i w:val="1"/>
          <w:iCs w:val="1"/>
        </w:rPr>
      </w:pPr>
      <w:r w:rsidDel="00000000" w:rsidR="00000000" w:rsidRPr="00000000">
        <w:rPr>
          <w:rtl w:val="0"/>
        </w:rPr>
      </w:r>
    </w:p>
    <w:p w:rsidR="00000000" w:rsidDel="00000000" w:rsidP="00000000" w:rsidRDefault="00000000" w:rsidRPr="00000000" w14:paraId="0000004C">
      <w:pPr>
        <w:jc w:val="both"/>
        <w:rPr>
          <w:i w:val="1"/>
          <w:iCs w:val="1"/>
        </w:rPr>
      </w:pPr>
      <w:r w:rsidDel="00000000" w:rsidR="00000000" w:rsidRPr="00000000">
        <w:rPr>
          <w:i w:val="1"/>
          <w:iCs w:val="1"/>
          <w:rtl w:val="0"/>
        </w:rPr>
        <w:t xml:space="preserve">Ministry of Finance, Sri Lanka. (2024). Annual Report 2024. </w:t>
      </w:r>
      <w:hyperlink r:id="rId13">
        <w:r w:rsidDel="00000000" w:rsidR="00000000" w:rsidRPr="00000000">
          <w:rPr>
            <w:i w:val="1"/>
            <w:iCs w:val="1"/>
            <w:color w:val="1155cc"/>
            <w:u w:val="single"/>
            <w:rtl w:val="0"/>
          </w:rPr>
          <w:t xml:space="preserve">https://www.treasury.gov.lk</w:t>
        </w:r>
      </w:hyperlink>
      <w:r w:rsidDel="00000000" w:rsidR="00000000" w:rsidRPr="00000000">
        <w:rPr>
          <w:i w:val="1"/>
          <w:iCs w:val="1"/>
          <w:rtl w:val="0"/>
        </w:rPr>
        <w:t xml:space="preserve"> </w:t>
      </w:r>
    </w:p>
    <w:p w:rsidR="00000000" w:rsidDel="00000000" w:rsidP="00000000" w:rsidRDefault="00000000" w:rsidRPr="00000000" w14:paraId="0000004D">
      <w:pPr>
        <w:jc w:val="both"/>
        <w:rPr>
          <w:i w:val="1"/>
          <w:iCs w:val="1"/>
        </w:rPr>
      </w:pPr>
      <w:r w:rsidDel="00000000" w:rsidR="00000000" w:rsidRPr="00000000">
        <w:rPr>
          <w:rtl w:val="0"/>
        </w:rPr>
      </w:r>
    </w:p>
    <w:p w:rsidR="00000000" w:rsidDel="00000000" w:rsidP="00000000" w:rsidRDefault="00000000" w:rsidRPr="00000000" w14:paraId="0000004E">
      <w:pPr>
        <w:jc w:val="both"/>
        <w:rPr>
          <w:i w:val="1"/>
          <w:iCs w:val="1"/>
        </w:rPr>
      </w:pPr>
      <w:r w:rsidDel="00000000" w:rsidR="00000000" w:rsidRPr="00000000">
        <w:rPr>
          <w:i w:val="1"/>
          <w:iCs w:val="1"/>
          <w:rtl w:val="0"/>
        </w:rPr>
        <w:t xml:space="preserve">Organisation for Economic Co-operation and Development. (2024). Creditor Reporting System Database. </w:t>
      </w:r>
      <w:hyperlink r:id="rId14">
        <w:r w:rsidDel="00000000" w:rsidR="00000000" w:rsidRPr="00000000">
          <w:rPr>
            <w:i w:val="1"/>
            <w:iCs w:val="1"/>
            <w:color w:val="1155cc"/>
            <w:u w:val="single"/>
            <w:rtl w:val="0"/>
          </w:rPr>
          <w:t xml:space="preserve">https://stats.oecd.org</w:t>
        </w:r>
      </w:hyperlink>
      <w:r w:rsidDel="00000000" w:rsidR="00000000" w:rsidRPr="00000000">
        <w:rPr>
          <w:i w:val="1"/>
          <w:iCs w:val="1"/>
          <w:rtl w:val="0"/>
        </w:rPr>
        <w:t xml:space="preserve"> </w:t>
      </w:r>
    </w:p>
    <w:p w:rsidR="00000000" w:rsidDel="00000000" w:rsidP="00000000" w:rsidRDefault="00000000" w:rsidRPr="00000000" w14:paraId="0000004F">
      <w:pPr>
        <w:jc w:val="both"/>
        <w:rPr>
          <w:i w:val="1"/>
          <w:iCs w:val="1"/>
        </w:rPr>
      </w:pPr>
      <w:r w:rsidDel="00000000" w:rsidR="00000000" w:rsidRPr="00000000">
        <w:rPr>
          <w:rtl w:val="0"/>
        </w:rPr>
      </w:r>
    </w:p>
    <w:p w:rsidR="00000000" w:rsidDel="00000000" w:rsidP="00000000" w:rsidRDefault="00000000" w:rsidRPr="00000000" w14:paraId="00000050">
      <w:pPr>
        <w:jc w:val="both"/>
        <w:rPr>
          <w:i w:val="1"/>
          <w:iCs w:val="1"/>
        </w:rPr>
      </w:pPr>
      <w:r w:rsidDel="00000000" w:rsidR="00000000" w:rsidRPr="00000000">
        <w:rPr>
          <w:i w:val="1"/>
          <w:iCs w:val="1"/>
          <w:rtl w:val="0"/>
        </w:rPr>
        <w:t xml:space="preserve">Pant, H. V. (Ed.). (2022). India's Neighbourhood Policy: Retrospect and Prospect. Observer Research Foundation. </w:t>
      </w:r>
    </w:p>
    <w:p w:rsidR="00000000" w:rsidDel="00000000" w:rsidP="00000000" w:rsidRDefault="00000000" w:rsidRPr="00000000" w14:paraId="00000051">
      <w:pPr>
        <w:jc w:val="both"/>
        <w:rPr>
          <w:i w:val="1"/>
          <w:iCs w:val="1"/>
        </w:rPr>
      </w:pPr>
      <w:r w:rsidDel="00000000" w:rsidR="00000000" w:rsidRPr="00000000">
        <w:rPr>
          <w:rtl w:val="0"/>
        </w:rPr>
      </w:r>
    </w:p>
    <w:p w:rsidR="00000000" w:rsidDel="00000000" w:rsidP="00000000" w:rsidRDefault="00000000" w:rsidRPr="00000000" w14:paraId="00000052">
      <w:pPr>
        <w:jc w:val="both"/>
        <w:rPr>
          <w:i w:val="1"/>
          <w:iCs w:val="1"/>
        </w:rPr>
      </w:pPr>
      <w:r w:rsidDel="00000000" w:rsidR="00000000" w:rsidRPr="00000000">
        <w:rPr>
          <w:i w:val="1"/>
          <w:iCs w:val="1"/>
          <w:rtl w:val="0"/>
        </w:rPr>
        <w:t xml:space="preserve">People's Republic of China, State Council Information Office. (2023). The Belt and Road Initiative: A Key Pillar of the Global Community of Shared Future. </w:t>
      </w:r>
      <w:hyperlink r:id="rId15">
        <w:r w:rsidDel="00000000" w:rsidR="00000000" w:rsidRPr="00000000">
          <w:rPr>
            <w:i w:val="1"/>
            <w:iCs w:val="1"/>
            <w:color w:val="1155cc"/>
            <w:u w:val="single"/>
            <w:rtl w:val="0"/>
          </w:rPr>
          <w:t xml:space="preserve">http://english.scio.gov.cn</w:t>
        </w:r>
      </w:hyperlink>
      <w:r w:rsidDel="00000000" w:rsidR="00000000" w:rsidRPr="00000000">
        <w:rPr>
          <w:i w:val="1"/>
          <w:iCs w:val="1"/>
          <w:rtl w:val="0"/>
        </w:rPr>
        <w:t xml:space="preserve"> </w:t>
      </w:r>
    </w:p>
    <w:p w:rsidR="00000000" w:rsidDel="00000000" w:rsidP="00000000" w:rsidRDefault="00000000" w:rsidRPr="00000000" w14:paraId="00000053">
      <w:pPr>
        <w:jc w:val="both"/>
        <w:rPr>
          <w:i w:val="1"/>
          <w:iCs w:val="1"/>
        </w:rPr>
      </w:pPr>
      <w:r w:rsidDel="00000000" w:rsidR="00000000" w:rsidRPr="00000000">
        <w:rPr>
          <w:rtl w:val="0"/>
        </w:rPr>
      </w:r>
    </w:p>
    <w:p w:rsidR="00000000" w:rsidDel="00000000" w:rsidP="00000000" w:rsidRDefault="00000000" w:rsidRPr="00000000" w14:paraId="00000054">
      <w:pPr>
        <w:jc w:val="both"/>
        <w:rPr>
          <w:i w:val="1"/>
          <w:iCs w:val="1"/>
        </w:rPr>
      </w:pPr>
      <w:r w:rsidDel="00000000" w:rsidR="00000000" w:rsidRPr="00000000">
        <w:rPr>
          <w:i w:val="1"/>
          <w:iCs w:val="1"/>
          <w:rtl w:val="0"/>
        </w:rPr>
        <w:t xml:space="preserve">Rajagopalan, R. P. (2020). India's Strategic Choices in the Indo-Pacific. Observer Research Foundation. </w:t>
      </w:r>
    </w:p>
    <w:p w:rsidR="00000000" w:rsidDel="00000000" w:rsidP="00000000" w:rsidRDefault="00000000" w:rsidRPr="00000000" w14:paraId="00000055">
      <w:pPr>
        <w:jc w:val="both"/>
        <w:rPr>
          <w:i w:val="1"/>
          <w:iCs w:val="1"/>
        </w:rPr>
      </w:pPr>
      <w:r w:rsidDel="00000000" w:rsidR="00000000" w:rsidRPr="00000000">
        <w:rPr>
          <w:rtl w:val="0"/>
        </w:rPr>
      </w:r>
    </w:p>
    <w:p w:rsidR="00000000" w:rsidDel="00000000" w:rsidP="00000000" w:rsidRDefault="00000000" w:rsidRPr="00000000" w14:paraId="00000056">
      <w:pPr>
        <w:jc w:val="both"/>
        <w:rPr>
          <w:i w:val="1"/>
          <w:iCs w:val="1"/>
        </w:rPr>
      </w:pPr>
      <w:r w:rsidDel="00000000" w:rsidR="00000000" w:rsidRPr="00000000">
        <w:rPr>
          <w:i w:val="1"/>
          <w:iCs w:val="1"/>
          <w:rtl w:val="0"/>
        </w:rPr>
        <w:t xml:space="preserve">SIPRI. (2025). SIPRI Arms Transfers Database. Stockholm International Peace Research Institute. </w:t>
      </w:r>
      <w:hyperlink r:id="rId16">
        <w:r w:rsidDel="00000000" w:rsidR="00000000" w:rsidRPr="00000000">
          <w:rPr>
            <w:i w:val="1"/>
            <w:iCs w:val="1"/>
            <w:color w:val="1155cc"/>
            <w:u w:val="single"/>
            <w:rtl w:val="0"/>
          </w:rPr>
          <w:t xml:space="preserve">https://www.sipri.org/databases/armstransfers</w:t>
        </w:r>
      </w:hyperlink>
      <w:r w:rsidDel="00000000" w:rsidR="00000000" w:rsidRPr="00000000">
        <w:rPr>
          <w:i w:val="1"/>
          <w:iCs w:val="1"/>
          <w:rtl w:val="0"/>
        </w:rPr>
        <w:t xml:space="preserve"> </w:t>
      </w:r>
    </w:p>
    <w:p w:rsidR="00000000" w:rsidDel="00000000" w:rsidP="00000000" w:rsidRDefault="00000000" w:rsidRPr="00000000" w14:paraId="00000057">
      <w:pPr>
        <w:jc w:val="both"/>
        <w:rPr>
          <w:i w:val="1"/>
          <w:iCs w:val="1"/>
        </w:rPr>
      </w:pPr>
      <w:r w:rsidDel="00000000" w:rsidR="00000000" w:rsidRPr="00000000">
        <w:rPr>
          <w:rtl w:val="0"/>
        </w:rPr>
      </w:r>
    </w:p>
    <w:p w:rsidR="00000000" w:rsidDel="00000000" w:rsidP="00000000" w:rsidRDefault="00000000" w:rsidRPr="00000000" w14:paraId="00000058">
      <w:pPr>
        <w:jc w:val="both"/>
        <w:rPr>
          <w:i w:val="1"/>
          <w:iCs w:val="1"/>
        </w:rPr>
      </w:pPr>
      <w:r w:rsidDel="00000000" w:rsidR="00000000" w:rsidRPr="00000000">
        <w:rPr>
          <w:i w:val="1"/>
          <w:iCs w:val="1"/>
          <w:rtl w:val="0"/>
        </w:rPr>
        <w:t xml:space="preserve">The World Bank. (2025). World Development Indicators. </w:t>
      </w:r>
      <w:hyperlink r:id="rId17">
        <w:r w:rsidDel="00000000" w:rsidR="00000000" w:rsidRPr="00000000">
          <w:rPr>
            <w:i w:val="1"/>
            <w:iCs w:val="1"/>
            <w:color w:val="1155cc"/>
            <w:u w:val="single"/>
            <w:rtl w:val="0"/>
          </w:rPr>
          <w:t xml:space="preserve">https://data.worldbank.org</w:t>
        </w:r>
      </w:hyperlink>
      <w:r w:rsidDel="00000000" w:rsidR="00000000" w:rsidRPr="00000000">
        <w:rPr>
          <w:i w:val="1"/>
          <w:iCs w:val="1"/>
          <w:rtl w:val="0"/>
        </w:rPr>
        <w:t xml:space="preserve"> </w:t>
      </w:r>
    </w:p>
    <w:p w:rsidR="00000000" w:rsidDel="00000000" w:rsidP="00000000" w:rsidRDefault="00000000" w:rsidRPr="00000000" w14:paraId="00000059">
      <w:pPr>
        <w:jc w:val="both"/>
        <w:rPr>
          <w:i w:val="1"/>
          <w:iCs w:val="1"/>
        </w:rPr>
      </w:pPr>
      <w:r w:rsidDel="00000000" w:rsidR="00000000" w:rsidRPr="00000000">
        <w:rPr>
          <w:rtl w:val="0"/>
        </w:rPr>
      </w:r>
    </w:p>
    <w:p w:rsidR="00000000" w:rsidDel="00000000" w:rsidP="00000000" w:rsidRDefault="00000000" w:rsidRPr="00000000" w14:paraId="0000005A">
      <w:pPr>
        <w:jc w:val="both"/>
        <w:rPr>
          <w:i w:val="1"/>
          <w:iCs w:val="1"/>
        </w:rPr>
      </w:pPr>
      <w:r w:rsidDel="00000000" w:rsidR="00000000" w:rsidRPr="00000000">
        <w:rPr>
          <w:i w:val="1"/>
          <w:iCs w:val="1"/>
          <w:rtl w:val="0"/>
        </w:rPr>
        <w:t xml:space="preserve">United Nations Conference on Trade and Development. (2024). World Investment Report 2024. </w:t>
      </w:r>
      <w:hyperlink r:id="rId18">
        <w:r w:rsidDel="00000000" w:rsidR="00000000" w:rsidRPr="00000000">
          <w:rPr>
            <w:i w:val="1"/>
            <w:iCs w:val="1"/>
            <w:color w:val="1155cc"/>
            <w:u w:val="single"/>
            <w:rtl w:val="0"/>
          </w:rPr>
          <w:t xml:space="preserve">https://unctad.org</w:t>
        </w:r>
      </w:hyperlink>
      <w:r w:rsidDel="00000000" w:rsidR="00000000" w:rsidRPr="00000000">
        <w:rPr>
          <w:i w:val="1"/>
          <w:iCs w:val="1"/>
          <w:rtl w:val="0"/>
        </w:rPr>
        <w:t xml:space="preserve"> </w:t>
      </w:r>
    </w:p>
    <w:p w:rsidR="00000000" w:rsidDel="00000000" w:rsidP="00000000" w:rsidRDefault="00000000" w:rsidRPr="00000000" w14:paraId="0000005B">
      <w:pPr>
        <w:jc w:val="both"/>
        <w:rPr>
          <w:i w:val="1"/>
          <w:iCs w:val="1"/>
        </w:rPr>
      </w:pPr>
      <w:r w:rsidDel="00000000" w:rsidR="00000000" w:rsidRPr="00000000">
        <w:rPr>
          <w:rtl w:val="0"/>
        </w:rPr>
      </w:r>
    </w:p>
    <w:p w:rsidR="00000000" w:rsidDel="00000000" w:rsidP="00000000" w:rsidRDefault="00000000" w:rsidRPr="00000000" w14:paraId="0000005C">
      <w:pPr>
        <w:jc w:val="both"/>
        <w:rPr>
          <w:i w:val="1"/>
          <w:iCs w:val="1"/>
        </w:rPr>
      </w:pPr>
      <w:r w:rsidDel="00000000" w:rsidR="00000000" w:rsidRPr="00000000">
        <w:rPr>
          <w:i w:val="1"/>
          <w:iCs w:val="1"/>
          <w:rtl w:val="0"/>
        </w:rPr>
        <w:t xml:space="preserve">World Bank. (2022). Belt and Road Economics: Opportunities and Risks of Transport Corridors (Updated Edition). </w:t>
      </w:r>
      <w:hyperlink r:id="rId19">
        <w:r w:rsidDel="00000000" w:rsidR="00000000" w:rsidRPr="00000000">
          <w:rPr>
            <w:i w:val="1"/>
            <w:iCs w:val="1"/>
            <w:color w:val="1155cc"/>
            <w:u w:val="single"/>
            <w:rtl w:val="0"/>
          </w:rPr>
          <w:t xml:space="preserve">https://www.worldbank.org</w:t>
        </w:r>
      </w:hyperlink>
      <w:r w:rsidDel="00000000" w:rsidR="00000000" w:rsidRPr="00000000">
        <w:rPr>
          <w:i w:val="1"/>
          <w:iCs w:val="1"/>
          <w:rtl w:val="0"/>
        </w:rPr>
        <w:t xml:space="preserve"> </w:t>
      </w:r>
    </w:p>
    <w:p w:rsidR="00000000" w:rsidDel="00000000" w:rsidP="00000000" w:rsidRDefault="00000000" w:rsidRPr="00000000" w14:paraId="0000005D">
      <w:pPr>
        <w:jc w:val="both"/>
        <w:rPr>
          <w:i w:val="1"/>
          <w:iCs w:val="1"/>
        </w:rPr>
      </w:pPr>
      <w:r w:rsidDel="00000000" w:rsidR="00000000" w:rsidRPr="00000000">
        <w:rPr>
          <w:rtl w:val="0"/>
        </w:rPr>
      </w:r>
    </w:p>
    <w:p w:rsidR="00000000" w:rsidDel="00000000" w:rsidP="00000000" w:rsidRDefault="00000000" w:rsidRPr="00000000" w14:paraId="0000005E">
      <w:pPr>
        <w:jc w:val="both"/>
        <w:rPr>
          <w:i w:val="1"/>
          <w:iCs w:val="1"/>
        </w:rPr>
      </w:pPr>
      <w:r w:rsidDel="00000000" w:rsidR="00000000" w:rsidRPr="00000000">
        <w:rPr>
          <w:i w:val="1"/>
          <w:iCs w:val="1"/>
          <w:rtl w:val="0"/>
        </w:rPr>
        <w:t xml:space="preserve">Yahuda, M. (2023). China's Foreign Policy: Pragmatism and Strategic Competition. Routledge.  </w:t>
      </w:r>
    </w:p>
    <w:p w:rsidR="00000000" w:rsidDel="00000000" w:rsidP="00000000" w:rsidRDefault="00000000" w:rsidRPr="00000000" w14:paraId="0000005F">
      <w:pPr>
        <w:jc w:val="both"/>
        <w:rPr>
          <w:i w:val="1"/>
          <w:i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mof.gov.np" TargetMode="External"/><Relationship Id="rId10" Type="http://schemas.openxmlformats.org/officeDocument/2006/relationships/hyperlink" Target="https://www.indiabudget.gov.in" TargetMode="External"/><Relationship Id="rId13" Type="http://schemas.openxmlformats.org/officeDocument/2006/relationships/hyperlink" Target="https://www.treasury.gov.lk" TargetMode="External"/><Relationship Id="rId12" Type="http://schemas.openxmlformats.org/officeDocument/2006/relationships/hyperlink" Target="https://power.lowyinstitute.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ea.gov.in" TargetMode="External"/><Relationship Id="rId15" Type="http://schemas.openxmlformats.org/officeDocument/2006/relationships/hyperlink" Target="http://english.scio.gov.cn" TargetMode="External"/><Relationship Id="rId14" Type="http://schemas.openxmlformats.org/officeDocument/2006/relationships/hyperlink" Target="https://stats.oecd.org" TargetMode="External"/><Relationship Id="rId17" Type="http://schemas.openxmlformats.org/officeDocument/2006/relationships/hyperlink" Target="https://data.worldbank.org" TargetMode="External"/><Relationship Id="rId16" Type="http://schemas.openxmlformats.org/officeDocument/2006/relationships/hyperlink" Target="https://www.sipri.org/databases/armstransfers" TargetMode="External"/><Relationship Id="rId5" Type="http://schemas.openxmlformats.org/officeDocument/2006/relationships/styles" Target="styles.xml"/><Relationship Id="rId19" Type="http://schemas.openxmlformats.org/officeDocument/2006/relationships/hyperlink" Target="https://www.worldbank.org" TargetMode="External"/><Relationship Id="rId6" Type="http://schemas.openxmlformats.org/officeDocument/2006/relationships/hyperlink" Target="https://www.adb.org" TargetMode="External"/><Relationship Id="rId18" Type="http://schemas.openxmlformats.org/officeDocument/2006/relationships/hyperlink" Target="https://unctad.org" TargetMode="External"/><Relationship Id="rId7" Type="http://schemas.openxmlformats.org/officeDocument/2006/relationships/hyperlink" Target="https://chinapower.csis.org" TargetMode="External"/><Relationship Id="rId8" Type="http://schemas.openxmlformats.org/officeDocument/2006/relationships/hyperlink" Target="https://tradestat.commerc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