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Vasudhaiva Kutumbakam in the Age of Algorithms: Toward an Indian Philosophy of Artificial Intelligence Governance</w:t>
      </w:r>
    </w:p>
    <w:p w:rsidR="00000000" w:rsidDel="00000000" w:rsidP="00000000" w:rsidRDefault="00000000" w:rsidRPr="00000000" w14:paraId="00000002">
      <w:pPr>
        <w:spacing w:after="100" w:before="1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100" w:before="10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Soham Das</w:t>
      </w:r>
    </w:p>
    <w:p w:rsidR="00000000" w:rsidDel="00000000" w:rsidP="00000000" w:rsidRDefault="00000000" w:rsidRPr="00000000" w14:paraId="00000004">
      <w:pPr>
        <w:spacing w:after="100" w:before="1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PG I, JUIR</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question is not whether machines can think. The question is whether the people who build them bother to ask whose thinking counts."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European Union's AI Act came into full effect in 2024, it was celebrated in Brussels as a civilizational achievement. The world's first comprehensive legal framework for artificial intelligence, its architects argued, would set the global standard the way GDPR had before it. Within weeks, American technology companies had begun hiring legions of compliance lawyers and within months, smaller economies were quietly studying whether to adopt the framework wholesale or risk regulatory isolation. The pattern was familiar: governance architecture designed in the North Atlantic, calibrated to Northern anxieties, exported southward as universal wisdom. What was new was only the technology being governed. Smaller economies began studying the EU AI Act not because it fit their realities but because staying outside it felt more expensive than compliance. A framework tailored to one region's regulatory culture and one continent's industrial base started moving southward masquerading as a universal principle. Both sides of the dominant debate share the same foundational assumption that the liberal individual is the irreducible unit of ethical concern, that Northern datasets approximate something universal, and that computational scale is, on balance, desirable. Neither framework has meaningful tools for a Bengali gig worker whose platform rating determines his weekly income through a process he cannot see or challenge, or for a smallholder farmer in Odisha whose crop insurance claim is processed by an algorithm trained on data from a different continent, a different climate, and an alienated agricultural reality. The governance conversation accelerates but they remain outside it.</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does not stand as a third option in any meaningful sense, though the reason requires more precision than it usually receives. The surface difference between Beijing's state-centric model and Washington's market-centric one is real but it obscures a structural identity. Both treat data as a resource to be extracted from populations and optimized for an external purpose: profit in one case, social control in the other. The distinction is between who benefits from the extraction, not whether extraction is the organising logic. China's social credit architecture does not govern AI in the interest of the communities it processes. It governs communities in the interest of the state that processes them. The population is the input; compliance is the output. Roberts et al. (2021) document how Chinese AI policy systematically subordinates ethical constraints to developmental and security imperatives, which is not an alternative to the extractive paradigm but its most transparent expression. For most of the Global South, choosing between these three is less a governance decision than a choice between different brands of the same underlying product.</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model is needed but the inferential move from "existing frameworks are inadequate" to "Indian philosophical tradition provides the answer" requires a step that is usually skipped. The inadequacy of liberal, market-centric, and state-centric frameworks does not automatically generate an alternative; it only establishes that one is necessary. What makes India a plausible source is not national pride or civilizational marketing but a specific convergence grounding philosophical resources that challenge the ontological ground beneath all three dominant frameworks, a democratic institutional context that separates it from authoritarian alternatives, and digital public infrastructure that already, in partial and imperfect ways, operationalizes a different design logic. The convergence is unusual enough to be worth taking seriously, even where each element is individually incomplete.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Recovering Vasudhaiva Kutumbakam as a theoretical resource requires holding it at deliberate distance from its ceremonial uses. Drawn from the Maha Upanishad and elevated to something close to national doctrine during India's G20 presidency, it has been repeated in diplomatic settings often enough that its analytical content has nearly worn away (Olivelle, 1998). What remains when the branding is stripped off is a specific philosophical claim: a relational ontology. The world, on this account, is not made up of discrete individuals who then enter into relationships. It is made up of relationships that constitute individuals in the first place. This is not a soft variation on liberal thought. It cuts at the root of it. The practical difference becomes visible in cases where liberal frameworks genuinely failed to account for harm. In 2016, Facebook's algorithm in Myanmar systematically amplified anti-Rohingya content over an extended period. Individual users had clicked through the platform's terms. No single interaction, assessed in isolation, constituted a rights violation that liberal frameworks could process. The harm was relational and collective: a shared epistemic environment was degraded, communal boundaries were hardened, and the conditions for mass violence were cultivated across thousands of individually consensual engagements (UN Fact-Finding Mission on Myanmar, 2018). Liberal AI governance, built around individual consent and individual harm, had no vocabulary for what happened. A relational ontology does. It asks not what this processing does to this person, but what this system does to the web of relationships through which persons exist and communities sustain themselves.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 capabilities approach is relevant here, but only if taken further than it usually is in this kind of argument. Sen's core claim is that human development must be assessed by the actual freedoms people can exercise within their social contexts, not by resource allocation to individuals in the abstract (Sen, 1999). Applied to algorithmic governance, this reframes the evaluative question entirely. The relevant measure is not whether a system respects individual data rights in procedural terms, which GDPR-style frameworks can satisfy while leaving power distributions entirely intact, but whether it expands or contracts the genuine capacity of communities to define their own epistemic environments. A crop insurance algorithm that processes Odishan farmers through datasets calibrated to Iowa may violate no individual right and still systematically contract the agricultural freedoms of an entire community. The capabilities lens makes that harm legible in a way that consent-based frameworks cannot.</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Dharma offers a second derivation. Resisting clean translation, it functions here as contextually sensitive ethical obligation: not a universal rule applied uniformly, but an obligation that varies with context, relationship, and circumstance. Rajeev Bhargava's work on Indian political thought captures something essential at this point. Indian traditions have historically practiced what he calls principled distance, calibrating institutional responses to the specific needs and vulnerabilities of particular communities rather than applying a single standard regardless of context (Bhargava, 2006). A governance framework inflected by Dharma asks not whether a system complies with the universal standard, but whether it behaves appropriately given the specific relationships, power asymmetries, and community needs it actually operates within. That makes it structurally better suited to governing AI across the Global South's diversity of contexts than any framework calibrated to a single social model.</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appropriation critique must be answered here, not deferred. Both Vasudhaiva Kutumbakam and Dharma have been recruited for authoritarian ends. Hindu nationalist discourse has used civilizational language to justify exclusion and violence against minorities with enough consistency that no serious engagement with these traditions can ignore it. The answer is not to abandon the philosophical resources but to insist on internal consistency as the test. A relational ontology that excludes certain communities from the family is not Vasudhaiva Kutumbakam. It is its negation. A Dharma that entrenches caste hierarchy is not contextual ethical sensitivity but ideological cover. The framework stands or falls on its own logical terms, independent of who currently claims it.</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governance built on these principles actually require institutionally? A relational ontology implies that the unit of regulatory concern must shift from the individual data subject to the community whose relational fabric a system operates within. Concretely, this means algorithmic impact assessments that measure effects on collective epistemic environments, not just individual privacy violations. It means community-level redress mechanisms, not only individual complaint channels. Dharmic contextual sensitivity implies tiered regulatory obligations calibrated to the power asymmetries a system creates: stricter accountability requirements where an algorithm operates in conditions of structural vulnerability, lighter where genuine interoperability and user agency exist. The institutional home for this, in India's context, is not a single AI regulator modelled on the EU's centralised architecture but a federated oversight structure that mirrors the DPI logic: sectoral regulators for health, agriculture, and finance, coordinated through interoperable standards rather than unified command.</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has already built infrastructure that embodies, at least partially, this design logic. The India Stack, encompassing Aadhaar's identity layer, UPI's payment architecture, and the Open Network for Digital Commerce, is federated rather than centralized, open-protocol rather than proprietary, interoperable rather than platform-captured, and inclusion-first in its explicit design mandate. UPI processed over 14 billion transactions monthly by 2024, not by optimizing for individual consumer surplus the way a Western fintech platform would, but by building interoperability that let the smallest rural cooperative bank and the largest private sector institution run on the same rails (National Payments Corporation of India, 2024). The system's value derives from the quality of connections it enables, not from the extraction it facilitates. That is relational logic at the infrastructure level, whether or not it was ever theorized as such.</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IndiaAI Mission extends this into AI specifically, but the political economy constraints cannot be treated as a footnote. The mission is chronically underfunded relative to its ambitions, and institutional fragmentation across the Ministry of Electronics and Information Technology, NITI Aayog, and sectoral regulators has produced coordination failures that weaken delivery (Ministry of Electronics and Information Technology, 2024). The Digital Personal Data Protection Act, passed in 2023, compounds the problem. Its weak enforcement architecture, dependent on a Data Protection Board whose independence from executive influence remains structurally compromised, and its data localization provisions, which serve industrial policy objectives as much as community protection, sit in real tension with the governance-by-design argument. Acknowledging this is not a concession that the framework fails. It is a recognition that the normative orientation of India's DPI approach is theoretically coherent even where its institutional expression remains incomplete. A framework can be right about what to build while being wrong about the pace and politics of building it. The argument for an Indian philosophy of AI governance does not depend on India having already succeeded. It depends on the philosophical resources being genuine and the institutional experiments being real, which they are.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contrast with the EU's GDPR ecosystem clarifies what is at stake. GDPR has generated a multi-billion dollar industry of consent management platforms and legal consultancies, making compliance expensive enough to constitute a barrier to entry and concentrating the data economy further in platforms large enough to absorb the costs. It has protected individual rights in procedural terms while doing relatively little to redistribute power. India's DPI approach attempts to address power concentration at the architectural level rather than regulating its symptoms afterward. That is philosophically closer to Dharma's contextual sensitivity than to Brussels' universal standard, and practically more likely to matter for the communities that dominant frameworks have consistently failed to see.</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position in global AI governance is currently reactive. It participates in the Global Partnership on AI, engages bilateral technology dialogues, and has produced a national strategy. What it has not done is articulate a coherent normative alternative in the form of a governance philosophy rather than a governance position. This matters because normative influence in emerging technology governance accrues early. The countries and institutions that define the vocabulary, the metrics, and the underlying assumptions of AI governance in the next five years will shape the field for decades. Strategic autonomy in the AI era cannot mean chip fabrication capacity alone. A country that builds its own compute stack while governing it with borrowed normative frameworks has achieved technological independence without intellectual sovereignty. The deeper form of autonomy is the capacity to ask original questions about what AI should do, whose flourishing it should serve, and what relationships it should protect, and to answer those questions from its own philosophical inheritance rather than translating someone else's answers into local idiom. Vasudhaiva Kutumbakam does not tell us how to regulate a large language model. It tells us what we should be asking the model to do: to serve the family, not to mine it.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Bhargava, R. (2006). Political secularism. In J. Dryzek, B. Honig, &amp; A. Phillips (Eds.), </w:t>
      </w:r>
      <w:r w:rsidDel="00000000" w:rsidR="00000000" w:rsidRPr="00000000">
        <w:rPr>
          <w:rFonts w:ascii="Times New Roman" w:cs="Times New Roman" w:eastAsia="Times New Roman" w:hAnsi="Times New Roman"/>
          <w:i w:val="1"/>
          <w:iCs w:val="1"/>
          <w:sz w:val="24"/>
          <w:szCs w:val="24"/>
          <w:rtl w:val="0"/>
        </w:rPr>
        <w:t xml:space="preserve">The Oxford handbook of political theory</w:t>
      </w:r>
      <w:r w:rsidDel="00000000" w:rsidR="00000000" w:rsidRPr="00000000">
        <w:rPr>
          <w:rFonts w:ascii="Times New Roman" w:cs="Times New Roman" w:eastAsia="Times New Roman" w:hAnsi="Times New Roman"/>
          <w:sz w:val="24"/>
          <w:szCs w:val="24"/>
          <w:rtl w:val="0"/>
        </w:rPr>
        <w:t xml:space="preserve"> (pp. 636–655). Oxford University Press.</w:t>
      </w:r>
    </w:p>
    <w:p w:rsidR="00000000" w:rsidDel="00000000" w:rsidP="00000000" w:rsidRDefault="00000000" w:rsidRPr="00000000" w14:paraId="0000002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European Parliament. (2024). Regulation (EU) 2024/1689 laying down harmonised rules on artificial intelligence (Artificial Intelligence Act).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Ministry of Electronics and Information Technology. (2024). IndiaAI mission: Framework document. Government of India.</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National Payments Corporation of India. (2024). UPI ecosystem statistics: Monthly transaction data. NPCI.</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Olivelle, P. (Ed. &amp; Trans.). (1998). </w:t>
      </w:r>
      <w:r w:rsidDel="00000000" w:rsidR="00000000" w:rsidRPr="00000000">
        <w:rPr>
          <w:rFonts w:ascii="Times New Roman" w:cs="Times New Roman" w:eastAsia="Times New Roman" w:hAnsi="Times New Roman"/>
          <w:i w:val="1"/>
          <w:iCs w:val="1"/>
          <w:sz w:val="24"/>
          <w:szCs w:val="24"/>
          <w:rtl w:val="0"/>
        </w:rPr>
        <w:t xml:space="preserve">The early Upanishads: Annotated text and translation.</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Roberts, H., Cowls, J., Morley, J., Taddeo, M., Wang, V., &amp; Floridi, L. (2021). The Chinese approach to artificial intelligence: An analysis of policy, ethics, and regulation. AI and Society, 36 (1), 59–77.</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Sen, A. (1999). </w:t>
      </w:r>
      <w:r w:rsidDel="00000000" w:rsidR="00000000" w:rsidRPr="00000000">
        <w:rPr>
          <w:rFonts w:ascii="Times New Roman" w:cs="Times New Roman" w:eastAsia="Times New Roman" w:hAnsi="Times New Roman"/>
          <w:i w:val="1"/>
          <w:iCs w:val="1"/>
          <w:sz w:val="24"/>
          <w:szCs w:val="24"/>
          <w:rtl w:val="0"/>
        </w:rPr>
        <w:t xml:space="preserve">Development as freedom.</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UN Fact-Finding Mission on Myanmar. (2018). Report of the detailed findings of the independent international fact-finding mission on Myanmar (A/HRC/39/CRP.2). United Nations Human Rights Council.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Ministry of Electronics and Information Technology. (2023). The Digital Personal Data Protection Act, 2023. Government of India.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