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B87333"/>
          <w:sz w:val="80"/>
          <w:szCs w:val="80"/>
        </w:rPr>
        <w:t xml:space="preserve">CLPT</w:t>
      </w:r>
    </w:p>
    <w:p>
      <w:pPr>
        <w:spacing w:before="0" w:after="120"/>
        <w:jc w:val="center"/>
      </w:pPr>
      <w:r>
        <w:rPr>
          <w:rFonts w:ascii="Arial" w:cs="Arial" w:eastAsia="Arial" w:hAnsi="Arial"/>
          <w:b/>
          <w:bCs/>
          <w:color w:val="0D1A2A"/>
          <w:sz w:val="36"/>
          <w:szCs w:val="36"/>
        </w:rPr>
        <w:t xml:space="preserve">COMPLIANCE ROADMAP</w:t>
      </w:r>
    </w:p>
    <w:p>
      <w:pPr>
        <w:spacing w:before="0" w:after="80"/>
        <w:jc w:val="center"/>
      </w:pPr>
      <w:r>
        <w:rPr>
          <w:rFonts w:ascii="Arial" w:cs="Arial" w:eastAsia="Arial" w:hAnsi="Arial"/>
          <w:color w:val="C8903A"/>
          <w:sz w:val="22"/>
          <w:szCs w:val="22"/>
        </w:rPr>
        <w:t xml:space="preserve">CMF · UAF · AML/KYC · Marco Regulatorio Chile &amp; Wyoming</w:t>
      </w:r>
    </w:p>
    <w:p>
      <w:pPr>
        <w:pBdr>
          <w:bottom w:val="single" w:color="B87333" w:sz="4" w:space="1"/>
        </w:pBdr>
        <w:spacing w:before="200" w:after="200"/>
      </w:pPr>
      <w:r>
        <w:t xml:space="preserve"/>
      </w:r>
    </w:p>
    <w:p>
      <w:pPr>
        <w:spacing w:before="200" w:after="80"/>
        <w:jc w:val="center"/>
      </w:pPr>
      <w:r>
        <w:rPr>
          <w:rFonts w:ascii="Arial" w:cs="Arial" w:eastAsia="Arial" w:hAnsi="Arial"/>
          <w:b/>
          <w:bCs/>
          <w:color w:val="0D1A2A"/>
          <w:sz w:val="22"/>
          <w:szCs w:val="22"/>
        </w:rPr>
        <w:t xml:space="preserve">Bitcopper Tech SpA  ·  Bitcopper Technologies LLC</w:t>
      </w:r>
    </w:p>
    <w:p>
      <w:pPr>
        <w:spacing w:before="0" w:after="80"/>
        <w:jc w:val="center"/>
      </w:pPr>
      <w:r>
        <w:rPr>
          <w:rFonts w:ascii="Arial" w:cs="Arial" w:eastAsia="Arial" w:hAnsi="Arial"/>
          <w:i/>
          <w:iCs/>
          <w:color w:val="6B7280"/>
          <w:sz w:val="20"/>
          <w:szCs w:val="20"/>
        </w:rPr>
        <w:t xml:space="preserve">Versión 1.0  ·  Marzo 2026  ·  CONFIDENCIAL</w:t>
      </w:r>
    </w:p>
    <w:p>
      <w:r>
        <w:br w:type="page"/>
      </w:r>
    </w:p>
    <w:p>
      <w:pPr>
        <w:pStyle w:val="Heading1"/>
        <w:spacing w:before="480" w:after="200"/>
      </w:pPr>
      <w:r>
        <w:rPr>
          <w:rFonts w:ascii="Arial" w:cs="Arial" w:eastAsia="Arial" w:hAnsi="Arial"/>
          <w:b/>
          <w:bCs/>
          <w:color w:val="B87333"/>
          <w:sz w:val="36"/>
          <w:szCs w:val="36"/>
        </w:rPr>
        <w:t xml:space="preserve">1. Resumen Ejecutivo de Cumplimiento</w:t>
      </w:r>
    </w:p>
    <w:p>
      <w:pPr>
        <w:spacing w:before="100" w:after="100"/>
      </w:pPr>
      <w:r>
        <w:rPr>
          <w:rFonts w:ascii="Arial" w:cs="Arial" w:eastAsia="Arial" w:hAnsi="Arial"/>
          <w:color w:val="1A1A2E"/>
          <w:sz w:val="22"/>
          <w:szCs w:val="22"/>
        </w:rPr>
        <w:t xml:space="preserve">Bitcopper Tech SpA opera bajo la legislación chilena y tiene como objetivo cumplir con todos los requisitos regulatorios de la CMF (Comisión para el Mercado Financiero) y la UAF (Unidad de Análisis Financiero) para operar CLPT como proveedor de servicios de activos virtuales (PSAV) en Chile.</w:t>
      </w:r>
    </w:p>
    <w:p>
      <w:pPr>
        <w:spacing w:before="100" w:after="100"/>
      </w:pPr>
      <w:r>
        <w:rPr>
          <w:rFonts w:ascii="Arial" w:cs="Arial" w:eastAsia="Arial" w:hAnsi="Arial"/>
          <w:color w:val="1A1A2E"/>
          <w:sz w:val="22"/>
          <w:szCs w:val="22"/>
        </w:rPr>
        <w:t xml:space="preserve">Simultáneamente, Bitcopper Technologies LLC opera bajo las leyes del estado de Wyoming, USA — el marco regulatorio más favorable para empresas de activos digitales en el continente americano.</w:t>
      </w:r>
    </w:p>
    <w:p>
      <w:pPr>
        <w:pBdr>
          <w:bottom w:val="single" w:color="B87333" w:sz="4" w:space="1"/>
        </w:pBdr>
        <w:spacing w:before="200" w:after="200"/>
      </w:pPr>
      <w:r>
        <w:t xml:space="preserve"/>
      </w:r>
    </w:p>
    <w:p>
      <w:pPr>
        <w:pStyle w:val="Heading1"/>
        <w:spacing w:before="480" w:after="200"/>
      </w:pPr>
      <w:r>
        <w:rPr>
          <w:rFonts w:ascii="Arial" w:cs="Arial" w:eastAsia="Arial" w:hAnsi="Arial"/>
          <w:b/>
          <w:bCs/>
          <w:color w:val="B87333"/>
          <w:sz w:val="36"/>
          <w:szCs w:val="36"/>
        </w:rPr>
        <w:t xml:space="preserve">2. Marco Legal Chile — CMF &amp; UAF</w:t>
      </w:r>
    </w:p>
    <w:p>
      <w:pPr>
        <w:pStyle w:val="Heading2"/>
        <w:spacing w:before="320" w:after="160"/>
      </w:pPr>
      <w:r>
        <w:rPr>
          <w:rFonts w:ascii="Arial" w:cs="Arial" w:eastAsia="Arial" w:hAnsi="Arial"/>
          <w:b/>
          <w:bCs/>
          <w:color w:val="0D1A2A"/>
          <w:sz w:val="28"/>
          <w:szCs w:val="28"/>
        </w:rPr>
        <w:t xml:space="preserve">2.1 Ley Fintech (Ley 21.521)</w:t>
      </w:r>
    </w:p>
    <w:p>
      <w:pPr>
        <w:spacing w:before="100" w:after="100"/>
      </w:pPr>
      <w:r>
        <w:rPr>
          <w:rFonts w:ascii="Arial" w:cs="Arial" w:eastAsia="Arial" w:hAnsi="Arial"/>
          <w:color w:val="1A1A2E"/>
          <w:sz w:val="22"/>
          <w:szCs w:val="22"/>
        </w:rPr>
        <w:t xml:space="preserve">La Ley Fintech de Chile, vigente desde 2023, establece el marco para Proveedores de Servicios de Activos Virtuales (PSAV). CLPT debe registrarse en la CMF bajo esta categoría antes de operar comercialmente.</w:t>
      </w:r>
    </w:p>
    <w:p>
      <w:pPr>
        <w:pStyle w:val="Heading3"/>
        <w:spacing w:before="240" w:after="120"/>
      </w:pPr>
      <w:r>
        <w:rPr>
          <w:rFonts w:ascii="Arial" w:cs="Arial" w:eastAsia="Arial" w:hAnsi="Arial"/>
          <w:b/>
          <w:bCs/>
          <w:color w:val="C8903A"/>
          <w:sz w:val="24"/>
          <w:szCs w:val="24"/>
        </w:rPr>
        <w:t xml:space="preserve">Obligaciones como PSAV:</w:t>
      </w:r>
    </w:p>
    <w:p>
      <w:pPr>
        <w:pStyle w:val="ListParagraph"/>
        <w:numPr>
          <w:ilvl w:val="0"/>
          <w:numId w:val="2"/>
        </w:numPr>
        <w:spacing w:before="60" w:after="60"/>
      </w:pPr>
      <w:r>
        <w:rPr>
          <w:rFonts w:ascii="Arial" w:cs="Arial" w:eastAsia="Arial" w:hAnsi="Arial"/>
          <w:color w:val="1A1A2E"/>
          <w:sz w:val="22"/>
          <w:szCs w:val="22"/>
        </w:rPr>
        <w:t xml:space="preserve">Registro ante la CMF con presentación de modelo de negocio, estructura corporativa y plan de continuidad.</w:t>
      </w:r>
    </w:p>
    <w:p>
      <w:pPr>
        <w:pStyle w:val="ListParagraph"/>
        <w:numPr>
          <w:ilvl w:val="0"/>
          <w:numId w:val="2"/>
        </w:numPr>
        <w:spacing w:before="60" w:after="60"/>
      </w:pPr>
      <w:r>
        <w:rPr>
          <w:rFonts w:ascii="Arial" w:cs="Arial" w:eastAsia="Arial" w:hAnsi="Arial"/>
          <w:color w:val="1A1A2E"/>
          <w:sz w:val="22"/>
          <w:szCs w:val="22"/>
        </w:rPr>
        <w:t xml:space="preserve">Capital mínimo: UF 4.000 (~$170M CLP) como garantía operacional.</w:t>
      </w:r>
    </w:p>
    <w:p>
      <w:pPr>
        <w:pStyle w:val="ListParagraph"/>
        <w:numPr>
          <w:ilvl w:val="0"/>
          <w:numId w:val="2"/>
        </w:numPr>
        <w:spacing w:before="60" w:after="60"/>
      </w:pPr>
      <w:r>
        <w:rPr>
          <w:rFonts w:ascii="Arial" w:cs="Arial" w:eastAsia="Arial" w:hAnsi="Arial"/>
          <w:color w:val="1A1A2E"/>
          <w:sz w:val="22"/>
          <w:szCs w:val="22"/>
        </w:rPr>
        <w:t xml:space="preserve">Presentación de estados financieros auditados anualmente.</w:t>
      </w:r>
    </w:p>
    <w:p>
      <w:pPr>
        <w:pStyle w:val="ListParagraph"/>
        <w:numPr>
          <w:ilvl w:val="0"/>
          <w:numId w:val="2"/>
        </w:numPr>
        <w:spacing w:before="60" w:after="60"/>
      </w:pPr>
      <w:r>
        <w:rPr>
          <w:rFonts w:ascii="Arial" w:cs="Arial" w:eastAsia="Arial" w:hAnsi="Arial"/>
          <w:color w:val="1A1A2E"/>
          <w:sz w:val="22"/>
          <w:szCs w:val="22"/>
        </w:rPr>
        <w:t xml:space="preserve">Política de prevención de lavado de activos y financiamiento del terrorismo (AML/CFT).</w:t>
      </w:r>
    </w:p>
    <w:p>
      <w:pPr>
        <w:pStyle w:val="ListParagraph"/>
        <w:numPr>
          <w:ilvl w:val="0"/>
          <w:numId w:val="2"/>
        </w:numPr>
        <w:spacing w:before="60" w:after="60"/>
      </w:pPr>
      <w:r>
        <w:rPr>
          <w:rFonts w:ascii="Arial" w:cs="Arial" w:eastAsia="Arial" w:hAnsi="Arial"/>
          <w:color w:val="1A1A2E"/>
          <w:sz w:val="22"/>
          <w:szCs w:val="22"/>
        </w:rPr>
        <w:t xml:space="preserve">Designación de un Oficial de Cumplimiento (Compliance Officer) registrado ante la CMF.</w:t>
      </w:r>
    </w:p>
    <w:p>
      <w:pPr>
        <w:pStyle w:val="Heading2"/>
        <w:spacing w:before="320" w:after="160"/>
      </w:pPr>
      <w:r>
        <w:rPr>
          <w:rFonts w:ascii="Arial" w:cs="Arial" w:eastAsia="Arial" w:hAnsi="Arial"/>
          <w:b/>
          <w:bCs/>
          <w:color w:val="0D1A2A"/>
          <w:sz w:val="28"/>
          <w:szCs w:val="28"/>
        </w:rPr>
        <w:t xml:space="preserve">2.2 UAF — Unidad de Análisis Financiero</w:t>
      </w:r>
    </w:p>
    <w:p>
      <w:pPr>
        <w:pStyle w:val="Heading3"/>
        <w:spacing w:before="240" w:after="120"/>
      </w:pPr>
      <w:r>
        <w:rPr>
          <w:rFonts w:ascii="Arial" w:cs="Arial" w:eastAsia="Arial" w:hAnsi="Arial"/>
          <w:b/>
          <w:bCs/>
          <w:color w:val="C8903A"/>
          <w:sz w:val="24"/>
          <w:szCs w:val="24"/>
        </w:rPr>
        <w:t xml:space="preserve">Obligaciones AML/KYC:</w:t>
      </w:r>
    </w:p>
    <w:p>
      <w:pPr>
        <w:pStyle w:val="ListParagraph"/>
        <w:numPr>
          <w:ilvl w:val="0"/>
          <w:numId w:val="2"/>
        </w:numPr>
        <w:spacing w:before="60" w:after="60"/>
      </w:pPr>
      <w:r>
        <w:rPr>
          <w:rFonts w:ascii="Arial" w:cs="Arial" w:eastAsia="Arial" w:hAnsi="Arial"/>
          <w:color w:val="1A1A2E"/>
          <w:sz w:val="22"/>
          <w:szCs w:val="22"/>
        </w:rPr>
        <w:t xml:space="preserve">Identificación completa de todos los clientes (KYC) con verificación de identidad nivel 2.</w:t>
      </w:r>
    </w:p>
    <w:p>
      <w:pPr>
        <w:pStyle w:val="ListParagraph"/>
        <w:numPr>
          <w:ilvl w:val="0"/>
          <w:numId w:val="2"/>
        </w:numPr>
        <w:spacing w:before="60" w:after="60"/>
      </w:pPr>
      <w:r>
        <w:rPr>
          <w:rFonts w:ascii="Arial" w:cs="Arial" w:eastAsia="Arial" w:hAnsi="Arial"/>
          <w:color w:val="1A1A2E"/>
          <w:sz w:val="22"/>
          <w:szCs w:val="22"/>
        </w:rPr>
        <w:t xml:space="preserve">Reporte de Operaciones Sospechosas (ROS) a la UAF dentro de 24 horas de detectada la operación.</w:t>
      </w:r>
    </w:p>
    <w:p>
      <w:pPr>
        <w:pStyle w:val="ListParagraph"/>
        <w:numPr>
          <w:ilvl w:val="0"/>
          <w:numId w:val="2"/>
        </w:numPr>
        <w:spacing w:before="60" w:after="60"/>
      </w:pPr>
      <w:r>
        <w:rPr>
          <w:rFonts w:ascii="Arial" w:cs="Arial" w:eastAsia="Arial" w:hAnsi="Arial"/>
          <w:color w:val="1A1A2E"/>
          <w:sz w:val="22"/>
          <w:szCs w:val="22"/>
        </w:rPr>
        <w:t xml:space="preserve">Registro de todas las transacciones superiores a UF 50 (~$2.1M CLP).</w:t>
      </w:r>
    </w:p>
    <w:p>
      <w:pPr>
        <w:pStyle w:val="ListParagraph"/>
        <w:numPr>
          <w:ilvl w:val="0"/>
          <w:numId w:val="2"/>
        </w:numPr>
        <w:spacing w:before="60" w:after="60"/>
      </w:pPr>
      <w:r>
        <w:rPr>
          <w:rFonts w:ascii="Arial" w:cs="Arial" w:eastAsia="Arial" w:hAnsi="Arial"/>
          <w:color w:val="1A1A2E"/>
          <w:sz w:val="22"/>
          <w:szCs w:val="22"/>
        </w:rPr>
        <w:t xml:space="preserve">Conservación de registros por mínimo 5 años.</w:t>
      </w:r>
    </w:p>
    <w:p>
      <w:pPr>
        <w:pStyle w:val="ListParagraph"/>
        <w:numPr>
          <w:ilvl w:val="0"/>
          <w:numId w:val="2"/>
        </w:numPr>
        <w:spacing w:before="60" w:after="60"/>
      </w:pPr>
      <w:r>
        <w:rPr>
          <w:rFonts w:ascii="Arial" w:cs="Arial" w:eastAsia="Arial" w:hAnsi="Arial"/>
          <w:color w:val="1A1A2E"/>
          <w:sz w:val="22"/>
          <w:szCs w:val="22"/>
        </w:rPr>
        <w:t xml:space="preserve">Programa de capacitación anual para todo el personal en AML/CFT.</w:t>
      </w:r>
    </w:p>
    <w:p>
      <w:pPr>
        <w:pStyle w:val="ListParagraph"/>
        <w:numPr>
          <w:ilvl w:val="0"/>
          <w:numId w:val="2"/>
        </w:numPr>
        <w:spacing w:before="60" w:after="60"/>
      </w:pPr>
      <w:r>
        <w:rPr>
          <w:rFonts w:ascii="Arial" w:cs="Arial" w:eastAsia="Arial" w:hAnsi="Arial"/>
          <w:color w:val="1A1A2E"/>
          <w:sz w:val="22"/>
          <w:szCs w:val="22"/>
        </w:rPr>
        <w:t xml:space="preserve">Evaluación de riesgo de clientes según metodología FATF/GAFI.</w:t>
      </w:r>
    </w:p>
    <w:p>
      <w:pPr>
        <w:pStyle w:val="Heading2"/>
        <w:spacing w:before="320" w:after="160"/>
      </w:pPr>
      <w:r>
        <w:rPr>
          <w:rFonts w:ascii="Arial" w:cs="Arial" w:eastAsia="Arial" w:hAnsi="Arial"/>
          <w:b/>
          <w:bCs/>
          <w:color w:val="0D1A2A"/>
          <w:sz w:val="28"/>
          <w:szCs w:val="28"/>
        </w:rPr>
        <w:t xml:space="preserve">2.3 Ventaja de Bitcopper-Core</w:t>
      </w:r>
    </w:p>
    <w:p>
      <w:pPr>
        <w:spacing w:before="100" w:after="100"/>
      </w:pPr>
      <w:r>
        <w:rPr>
          <w:rFonts w:ascii="Arial" w:cs="Arial" w:eastAsia="Arial" w:hAnsi="Arial"/>
          <w:color w:val="1A1A2E"/>
          <w:sz w:val="22"/>
          <w:szCs w:val="22"/>
        </w:rPr>
        <w:t xml:space="preserve">La red Bitcopper-Core (capa institucional) permite cumplir al 100% con las exigencias de la CMF porque incluye funcionalidades nativas de cumplimiento regulatorio:</w:t>
      </w:r>
    </w:p>
    <w:p>
      <w:pPr>
        <w:pStyle w:val="ListParagraph"/>
        <w:numPr>
          <w:ilvl w:val="0"/>
          <w:numId w:val="2"/>
        </w:numPr>
        <w:spacing w:before="60" w:after="60"/>
      </w:pPr>
      <w:r>
        <w:rPr>
          <w:rFonts w:ascii="Arial" w:cs="Arial" w:eastAsia="Arial" w:hAnsi="Arial"/>
          <w:color w:val="1A1A2E"/>
          <w:sz w:val="22"/>
          <w:szCs w:val="22"/>
        </w:rPr>
        <w:t xml:space="preserve">Congelamiento de fondos: por orden judicial o resolución CMF, los fondos pueden ser congelados instantáneamente en la capa Bitcopper-Core.</w:t>
      </w:r>
    </w:p>
    <w:p>
      <w:pPr>
        <w:pStyle w:val="ListParagraph"/>
        <w:numPr>
          <w:ilvl w:val="0"/>
          <w:numId w:val="2"/>
        </w:numPr>
        <w:spacing w:before="60" w:after="60"/>
      </w:pPr>
      <w:r>
        <w:rPr>
          <w:rFonts w:ascii="Arial" w:cs="Arial" w:eastAsia="Arial" w:hAnsi="Arial"/>
          <w:color w:val="1A1A2E"/>
          <w:sz w:val="22"/>
          <w:szCs w:val="22"/>
        </w:rPr>
        <w:t xml:space="preserve">Reversión de transacciones: en casos de fraude comprobado y con orden judicial, Bitcopper Tech SpA puede revertir transacciones en la red permisionada.</w:t>
      </w:r>
    </w:p>
    <w:p>
      <w:pPr>
        <w:pStyle w:val="ListParagraph"/>
        <w:numPr>
          <w:ilvl w:val="0"/>
          <w:numId w:val="2"/>
        </w:numPr>
        <w:spacing w:before="60" w:after="60"/>
      </w:pPr>
      <w:r>
        <w:rPr>
          <w:rFonts w:ascii="Arial" w:cs="Arial" w:eastAsia="Arial" w:hAnsi="Arial"/>
          <w:color w:val="1A1A2E"/>
          <w:sz w:val="22"/>
          <w:szCs w:val="22"/>
        </w:rPr>
        <w:t xml:space="preserve">Trazabilidad completa: cada transacción institucional tiene identidad verificada y es reportable a la UAF.</w:t>
      </w:r>
    </w:p>
    <w:p>
      <w:pPr>
        <w:pBdr>
          <w:bottom w:val="single" w:color="B87333" w:sz="4" w:space="1"/>
        </w:pBdr>
        <w:spacing w:before="200" w:after="200"/>
      </w:pPr>
      <w:r>
        <w:t xml:space="preserve"/>
      </w:r>
    </w:p>
    <w:p>
      <w:pPr>
        <w:pStyle w:val="Heading1"/>
        <w:spacing w:before="480" w:after="200"/>
      </w:pPr>
      <w:r>
        <w:rPr>
          <w:rFonts w:ascii="Arial" w:cs="Arial" w:eastAsia="Arial" w:hAnsi="Arial"/>
          <w:b/>
          <w:bCs/>
          <w:color w:val="B87333"/>
          <w:sz w:val="36"/>
          <w:szCs w:val="36"/>
        </w:rPr>
        <w:t xml:space="preserve">3. Marco Legal Wyoming — LLC &amp; DAO</w:t>
      </w:r>
    </w:p>
    <w:p>
      <w:pPr>
        <w:pStyle w:val="Heading2"/>
        <w:spacing w:before="320" w:after="160"/>
      </w:pPr>
      <w:r>
        <w:rPr>
          <w:rFonts w:ascii="Arial" w:cs="Arial" w:eastAsia="Arial" w:hAnsi="Arial"/>
          <w:b/>
          <w:bCs/>
          <w:color w:val="0D1A2A"/>
          <w:sz w:val="28"/>
          <w:szCs w:val="28"/>
        </w:rPr>
        <w:t xml:space="preserve">3.1 Por qué Wyoming</w:t>
      </w:r>
    </w:p>
    <w:p>
      <w:pPr>
        <w:pStyle w:val="ListParagraph"/>
        <w:numPr>
          <w:ilvl w:val="0"/>
          <w:numId w:val="2"/>
        </w:numPr>
        <w:spacing w:before="60" w:after="60"/>
      </w:pPr>
      <w:r>
        <w:rPr>
          <w:rFonts w:ascii="Arial" w:cs="Arial" w:eastAsia="Arial" w:hAnsi="Arial"/>
          <w:color w:val="1A1A2E"/>
          <w:sz w:val="22"/>
          <w:szCs w:val="22"/>
        </w:rPr>
        <w:t xml:space="preserve">Wyoming fue el primer estado de USA en reconocer legalmente los activos digitales como propiedad (2019).</w:t>
      </w:r>
    </w:p>
    <w:p>
      <w:pPr>
        <w:pStyle w:val="ListParagraph"/>
        <w:numPr>
          <w:ilvl w:val="0"/>
          <w:numId w:val="2"/>
        </w:numPr>
        <w:spacing w:before="60" w:after="60"/>
      </w:pPr>
      <w:r>
        <w:rPr>
          <w:rFonts w:ascii="Arial" w:cs="Arial" w:eastAsia="Arial" w:hAnsi="Arial"/>
          <w:color w:val="1A1A2E"/>
          <w:sz w:val="22"/>
          <w:szCs w:val="22"/>
        </w:rPr>
        <w:t xml:space="preserve">La Ley de DAO LLC permite a organizaciones descentralizadas operar con personalidad jurídica plena.</w:t>
      </w:r>
    </w:p>
    <w:p>
      <w:pPr>
        <w:pStyle w:val="ListParagraph"/>
        <w:numPr>
          <w:ilvl w:val="0"/>
          <w:numId w:val="2"/>
        </w:numPr>
        <w:spacing w:before="60" w:after="60"/>
      </w:pPr>
      <w:r>
        <w:rPr>
          <w:rFonts w:ascii="Arial" w:cs="Arial" w:eastAsia="Arial" w:hAnsi="Arial"/>
          <w:color w:val="1A1A2E"/>
          <w:sz w:val="22"/>
          <w:szCs w:val="22"/>
        </w:rPr>
        <w:t xml:space="preserve">No hay impuesto estatal sobre la renta en Wyoming.</w:t>
      </w:r>
    </w:p>
    <w:p>
      <w:pPr>
        <w:pStyle w:val="ListParagraph"/>
        <w:numPr>
          <w:ilvl w:val="0"/>
          <w:numId w:val="2"/>
        </w:numPr>
        <w:spacing w:before="60" w:after="60"/>
      </w:pPr>
      <w:r>
        <w:rPr>
          <w:rFonts w:ascii="Arial" w:cs="Arial" w:eastAsia="Arial" w:hAnsi="Arial"/>
          <w:color w:val="1A1A2E"/>
          <w:sz w:val="22"/>
          <w:szCs w:val="22"/>
        </w:rPr>
        <w:t xml:space="preserve">Flexibilidad en la estructura de capital: tokens pueden representar participación en la LLC.</w:t>
      </w:r>
    </w:p>
    <w:p>
      <w:pPr>
        <w:pStyle w:val="ListParagraph"/>
        <w:numPr>
          <w:ilvl w:val="0"/>
          <w:numId w:val="2"/>
        </w:numPr>
        <w:spacing w:before="60" w:after="60"/>
      </w:pPr>
      <w:r>
        <w:rPr>
          <w:rFonts w:ascii="Arial" w:cs="Arial" w:eastAsia="Arial" w:hAnsi="Arial"/>
          <w:color w:val="1A1A2E"/>
          <w:sz w:val="22"/>
          <w:szCs w:val="22"/>
        </w:rPr>
        <w:t xml:space="preserve">Acceso a inversores acreditados de USA bajo Regulation D (506b/506c) sin registro completo SEC.</w:t>
      </w:r>
    </w:p>
    <w:p>
      <w:pPr>
        <w:pStyle w:val="Heading2"/>
        <w:spacing w:before="320" w:after="160"/>
      </w:pPr>
      <w:r>
        <w:rPr>
          <w:rFonts w:ascii="Arial" w:cs="Arial" w:eastAsia="Arial" w:hAnsi="Arial"/>
          <w:b/>
          <w:bCs/>
          <w:color w:val="0D1A2A"/>
          <w:sz w:val="28"/>
          <w:szCs w:val="28"/>
        </w:rPr>
        <w:t xml:space="preserve">3.2 Estructura Corporativa</w:t>
      </w:r>
    </w:p>
    <w:p>
      <w:pPr>
        <w:spacing w:before="100" w:after="100"/>
      </w:pPr>
      <w:r>
        <w:rPr>
          <w:rFonts w:ascii="Arial" w:cs="Arial" w:eastAsia="Arial" w:hAnsi="Arial"/>
          <w:color w:val="1A1A2E"/>
          <w:sz w:val="22"/>
          <w:szCs w:val="22"/>
        </w:rPr>
        <w:t xml:space="preserve">La estructura dual LLC Wyoming + SpA Chile permite:</w:t>
      </w:r>
    </w:p>
    <w:p>
      <w:pPr>
        <w:pStyle w:val="ListParagraph"/>
        <w:numPr>
          <w:ilvl w:val="0"/>
          <w:numId w:val="2"/>
        </w:numPr>
        <w:spacing w:before="60" w:after="60"/>
      </w:pPr>
      <w:r>
        <w:rPr>
          <w:rFonts w:ascii="Arial" w:cs="Arial" w:eastAsia="Arial" w:hAnsi="Arial"/>
          <w:color w:val="1A1A2E"/>
          <w:sz w:val="22"/>
          <w:szCs w:val="22"/>
        </w:rPr>
        <w:t xml:space="preserve">Levantar capital internacional en USD desde Wyoming (Regulation D, inversores acreditados).</w:t>
      </w:r>
    </w:p>
    <w:p>
      <w:pPr>
        <w:pStyle w:val="ListParagraph"/>
        <w:numPr>
          <w:ilvl w:val="0"/>
          <w:numId w:val="2"/>
        </w:numPr>
        <w:spacing w:before="60" w:after="60"/>
      </w:pPr>
      <w:r>
        <w:rPr>
          <w:rFonts w:ascii="Arial" w:cs="Arial" w:eastAsia="Arial" w:hAnsi="Arial"/>
          <w:color w:val="1A1A2E"/>
          <w:sz w:val="22"/>
          <w:szCs w:val="22"/>
        </w:rPr>
        <w:t xml:space="preserve">Operar y cumplir regulatoriamente en Chile desde la SpA.</w:t>
      </w:r>
    </w:p>
    <w:p>
      <w:pPr>
        <w:pStyle w:val="ListParagraph"/>
        <w:numPr>
          <w:ilvl w:val="0"/>
          <w:numId w:val="2"/>
        </w:numPr>
        <w:spacing w:before="60" w:after="60"/>
      </w:pPr>
      <w:r>
        <w:rPr>
          <w:rFonts w:ascii="Arial" w:cs="Arial" w:eastAsia="Arial" w:hAnsi="Arial"/>
          <w:color w:val="1A1A2E"/>
          <w:sz w:val="22"/>
          <w:szCs w:val="22"/>
        </w:rPr>
        <w:t xml:space="preserve">Custodiar la reserva de $100M USD en entidades financieras reguladas en USA.</w:t>
      </w:r>
    </w:p>
    <w:p>
      <w:pPr>
        <w:pStyle w:val="ListParagraph"/>
        <w:numPr>
          <w:ilvl w:val="0"/>
          <w:numId w:val="2"/>
        </w:numPr>
        <w:spacing w:before="60" w:after="60"/>
      </w:pPr>
      <w:r>
        <w:rPr>
          <w:rFonts w:ascii="Arial" w:cs="Arial" w:eastAsia="Arial" w:hAnsi="Arial"/>
          <w:color w:val="1A1A2E"/>
          <w:sz w:val="22"/>
          <w:szCs w:val="22"/>
        </w:rPr>
        <w:t xml:space="preserve">Emitir el token CLPT desde Wyoming con respaldo legal en ambas jurisdicciones.</w:t>
      </w:r>
    </w:p>
    <w:p>
      <w:pPr>
        <w:pBdr>
          <w:bottom w:val="single" w:color="B87333" w:sz="4" w:space="1"/>
        </w:pBdr>
        <w:spacing w:before="200" w:after="200"/>
      </w:pPr>
      <w:r>
        <w:t xml:space="preserve"/>
      </w:r>
    </w:p>
    <w:p>
      <w:pPr>
        <w:pStyle w:val="Heading1"/>
        <w:spacing w:before="480" w:after="200"/>
      </w:pPr>
      <w:r>
        <w:rPr>
          <w:rFonts w:ascii="Arial" w:cs="Arial" w:eastAsia="Arial" w:hAnsi="Arial"/>
          <w:b/>
          <w:bCs/>
          <w:color w:val="B87333"/>
          <w:sz w:val="36"/>
          <w:szCs w:val="36"/>
        </w:rPr>
        <w:t xml:space="preserve">4. Roadmap de Cumplimiento — 18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2560"/>
      </w:tblGrid>
      <w:tr>
        <w:tc>
          <w:tcPr>
            <w:tcW w:type="dxa" w:w="35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ACCIÓN</w:t>
            </w:r>
          </w:p>
        </w:tc>
        <w:tc>
          <w:tcPr>
            <w:tcW w:type="dxa" w:w="15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ESTADO</w:t>
            </w:r>
          </w:p>
        </w:tc>
        <w:tc>
          <w:tcPr>
            <w:tcW w:type="dxa" w:w="18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PLAZO</w:t>
            </w:r>
          </w:p>
        </w:tc>
        <w:tc>
          <w:tcPr>
            <w:tcW w:type="dxa" w:w="256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RESPONSABLE</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Constitución LLC Wyoming</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16A34A"/>
                <w:sz w:val="19"/>
                <w:szCs w:val="19"/>
              </w:rPr>
              <w:t xml:space="preserve">COMPLETADO</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Mar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Pedro Ramos M.</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Constitución SpA Chile</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16A34A"/>
                <w:sz w:val="19"/>
                <w:szCs w:val="19"/>
              </w:rPr>
              <w:t xml:space="preserve">COMPLETADO</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Mar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Pedro Ramos M.</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Registro dominio y sitio web</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16A34A"/>
                <w:sz w:val="19"/>
                <w:szCs w:val="19"/>
              </w:rPr>
              <w:t xml:space="preserve">COMPLETADO</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Mar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Equipo Tech</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Whitepaper CLPT v1.0</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C8903A"/>
                <w:sz w:val="19"/>
                <w:szCs w:val="19"/>
              </w:rPr>
              <w:t xml:space="preserve">EN PROCESO</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Mar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Pedro Ramos M.</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Contrato abogado CMF Chile</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Abr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CEO + Legal</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Contrato abogado Wyoming</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Abr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CEO + Legal</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Apertura cuenta custodia USA</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May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Bitcopper LLC</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Smart contract CLPT auditoría</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May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Equipo Tech</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Registro PSAV ante CMF</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Jun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Abogado CMF</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Política AML/KYC aprobada</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Jun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Compliance Officer</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Oficial de Cumplimiento designado</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Jun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CEO</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Seed round $1M USD cerrado</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Jun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CEO + Inversores</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CLPT testnet Polygon lanzada</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Jul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Equipo Tech</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Integración exchange piloto</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Ago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BD + Tech</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Primera auditoría reserva</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Sep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Firma Auditora</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CLPT mainnet lanzada</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Sep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Equipo Tech</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Serie A $10M USD</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Oct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CEO + Inversores</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Bitcopper-Core PoA testnet</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Nov 2026</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Equipo Tech</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Segunda auditoría reserva</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Dic 2026</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Firma Auditora</w:t>
            </w:r>
          </w:p>
        </w:tc>
      </w:tr>
      <w:tr>
        <w:tc>
          <w:tcPr>
            <w:tcW w:type="dxa" w:w="3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ARST / MXNT desarrollo inicio</w:t>
            </w:r>
          </w:p>
        </w:tc>
        <w:tc>
          <w:tcPr>
            <w:tcW w:type="dxa" w:w="1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Ene 2027</w:t>
            </w:r>
          </w:p>
        </w:tc>
        <w:tc>
          <w:tcPr>
            <w:tcW w:type="dxa" w:w="2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Equipo Tech</w:t>
            </w:r>
          </w:p>
        </w:tc>
      </w:tr>
      <w:tr>
        <w:tc>
          <w:tcPr>
            <w:tcW w:type="dxa" w:w="3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Serie B $100M USD completo</w:t>
            </w:r>
          </w:p>
        </w:tc>
        <w:tc>
          <w:tcPr>
            <w:tcW w:type="dxa" w:w="15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PENDIENTE</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Jun 2027</w:t>
            </w:r>
          </w:p>
        </w:tc>
        <w:tc>
          <w:tcPr>
            <w:tcW w:type="dxa" w:w="2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CEO + Inversores</w:t>
            </w:r>
          </w:p>
        </w:tc>
      </w:tr>
    </w:tbl>
    <w:p>
      <w:pPr>
        <w:pBdr>
          <w:bottom w:val="single" w:color="B87333" w:sz="4" w:space="1"/>
        </w:pBdr>
        <w:spacing w:before="200" w:after="200"/>
      </w:pPr>
      <w:r>
        <w:t xml:space="preserve"/>
      </w:r>
    </w:p>
    <w:p>
      <w:pPr>
        <w:pStyle w:val="Heading1"/>
        <w:spacing w:before="480" w:after="200"/>
      </w:pPr>
      <w:r>
        <w:rPr>
          <w:rFonts w:ascii="Arial" w:cs="Arial" w:eastAsia="Arial" w:hAnsi="Arial"/>
          <w:b/>
          <w:bCs/>
          <w:color w:val="B87333"/>
          <w:sz w:val="36"/>
          <w:szCs w:val="36"/>
        </w:rPr>
        <w:t xml:space="preserve">5. Matriz de Riesgos Regulatorios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RIESGO</w:t>
            </w:r>
          </w:p>
        </w:tc>
        <w:tc>
          <w:tcPr>
            <w:tcW w:type="dxa" w:w="14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PROBABILIDAD</w:t>
            </w:r>
          </w:p>
        </w:tc>
        <w:tc>
          <w:tcPr>
            <w:tcW w:type="dxa" w:w="14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IMPACTO</w:t>
            </w:r>
          </w:p>
        </w:tc>
        <w:tc>
          <w:tcPr>
            <w:tcW w:type="dxa" w:w="376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MITIGACIÓN</w:t>
            </w:r>
          </w:p>
        </w:tc>
      </w:tr>
      <w:tr>
        <w:tc>
          <w:tcPr>
            <w:tcW w:type="dxa" w:w="2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CMF rechaza registro PSAV</w:t>
            </w:r>
          </w:p>
        </w:tc>
        <w:tc>
          <w:tcPr>
            <w:tcW w:type="dxa" w:w="14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97706"/>
                <w:sz w:val="19"/>
                <w:szCs w:val="19"/>
              </w:rPr>
              <w:t xml:space="preserve">MEDIA</w:t>
            </w:r>
          </w:p>
        </w:tc>
        <w:tc>
          <w:tcPr>
            <w:tcW w:type="dxa" w:w="14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ALTO</w:t>
            </w:r>
          </w:p>
        </w:tc>
        <w:tc>
          <w:tcPr>
            <w:tcW w:type="dxa" w:w="37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Contratar abogado especializado CMF antes de aplicar. Estructura dual LLC permite operar offshore.</w:t>
            </w:r>
          </w:p>
        </w:tc>
      </w:tr>
      <w:tr>
        <w:tc>
          <w:tcPr>
            <w:tcW w:type="dxa" w:w="2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Cambio regulatorio cripto Chile</w:t>
            </w:r>
          </w:p>
        </w:tc>
        <w:tc>
          <w:tcPr>
            <w:tcW w:type="dxa" w:w="14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16A34A"/>
                <w:sz w:val="19"/>
                <w:szCs w:val="19"/>
              </w:rPr>
              <w:t xml:space="preserve">BAJA</w:t>
            </w:r>
          </w:p>
        </w:tc>
        <w:tc>
          <w:tcPr>
            <w:tcW w:type="dxa" w:w="14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97706"/>
                <w:sz w:val="19"/>
                <w:szCs w:val="19"/>
              </w:rPr>
              <w:t xml:space="preserve">MEDIO</w:t>
            </w:r>
          </w:p>
        </w:tc>
        <w:tc>
          <w:tcPr>
            <w:tcW w:type="dxa" w:w="37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Ley Fintech ya establece marco. Participar activamente en consultas CMF.</w:t>
            </w:r>
          </w:p>
        </w:tc>
      </w:tr>
      <w:tr>
        <w:tc>
          <w:tcPr>
            <w:tcW w:type="dxa" w:w="2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Pérdida de paridad 1:1</w:t>
            </w:r>
          </w:p>
        </w:tc>
        <w:tc>
          <w:tcPr>
            <w:tcW w:type="dxa" w:w="14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16A34A"/>
                <w:sz w:val="19"/>
                <w:szCs w:val="19"/>
              </w:rPr>
              <w:t xml:space="preserve">MUY BAJA</w:t>
            </w:r>
          </w:p>
        </w:tc>
        <w:tc>
          <w:tcPr>
            <w:tcW w:type="dxa" w:w="14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C2626"/>
                <w:sz w:val="19"/>
                <w:szCs w:val="19"/>
              </w:rPr>
              <w:t xml:space="preserve">MUY ALTO</w:t>
            </w:r>
          </w:p>
        </w:tc>
        <w:tc>
          <w:tcPr>
            <w:tcW w:type="dxa" w:w="37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Reserva 100% en instrumentos de bajo riesgo. Smart contract con oráculo de verificación.</w:t>
            </w:r>
          </w:p>
        </w:tc>
      </w:tr>
      <w:tr>
        <w:tc>
          <w:tcPr>
            <w:tcW w:type="dxa" w:w="2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Hack del smart contract</w:t>
            </w:r>
          </w:p>
        </w:tc>
        <w:tc>
          <w:tcPr>
            <w:tcW w:type="dxa" w:w="14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16A34A"/>
                <w:sz w:val="19"/>
                <w:szCs w:val="19"/>
              </w:rPr>
              <w:t xml:space="preserve">BAJA</w:t>
            </w:r>
          </w:p>
        </w:tc>
        <w:tc>
          <w:tcPr>
            <w:tcW w:type="dxa" w:w="14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DC2626"/>
                <w:sz w:val="19"/>
                <w:szCs w:val="19"/>
              </w:rPr>
              <w:t xml:space="preserve">ALTO</w:t>
            </w:r>
          </w:p>
        </w:tc>
        <w:tc>
          <w:tcPr>
            <w:tcW w:type="dxa" w:w="37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19"/>
                <w:szCs w:val="19"/>
              </w:rPr>
              <w:t xml:space="preserve">Auditoría de código por firma certificada (CertiK/OpenZeppelin) antes del lanzamiento.</w:t>
            </w:r>
          </w:p>
        </w:tc>
      </w:tr>
      <w:tr>
        <w:tc>
          <w:tcPr>
            <w:tcW w:type="dxa" w:w="2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Regulación SEC USA</w:t>
            </w:r>
          </w:p>
        </w:tc>
        <w:tc>
          <w:tcPr>
            <w:tcW w:type="dxa" w:w="14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97706"/>
                <w:sz w:val="19"/>
                <w:szCs w:val="19"/>
              </w:rPr>
              <w:t xml:space="preserve">MEDIA</w:t>
            </w:r>
          </w:p>
        </w:tc>
        <w:tc>
          <w:tcPr>
            <w:tcW w:type="dxa" w:w="14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D97706"/>
                <w:sz w:val="19"/>
                <w:szCs w:val="19"/>
              </w:rPr>
              <w:t xml:space="preserve">MEDIO</w:t>
            </w:r>
          </w:p>
        </w:tc>
        <w:tc>
          <w:tcPr>
            <w:tcW w:type="dxa" w:w="37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19"/>
                <w:szCs w:val="19"/>
              </w:rPr>
              <w:t xml:space="preserve">Wyoming LLC no emite valores. CLPT es stablecoin de utilidad, no security.</w:t>
            </w:r>
          </w:p>
        </w:tc>
      </w:tr>
    </w:tbl>
    <w:p>
      <w:pPr>
        <w:pBdr>
          <w:bottom w:val="single" w:color="B87333" w:sz="4" w:space="1"/>
        </w:pBdr>
        <w:spacing w:before="200" w:after="200"/>
      </w:pPr>
      <w:r>
        <w:t xml:space="preserve"/>
      </w:r>
    </w:p>
    <w:p>
      <w:pPr>
        <w:spacing w:before="400" w:after="100"/>
        <w:jc w:val="center"/>
      </w:pPr>
      <w:r>
        <w:rPr>
          <w:rFonts w:ascii="Arial" w:cs="Arial" w:eastAsia="Arial" w:hAnsi="Arial"/>
          <w:color w:val="6B7280"/>
          <w:sz w:val="20"/>
          <w:szCs w:val="20"/>
        </w:rPr>
        <w:t xml:space="preserve">© 2026 Bitcopper Tech SpA · Bitcopper Technologies LLC</w:t>
      </w:r>
    </w:p>
    <w:p>
      <w:pPr>
        <w:jc w:val="center"/>
      </w:pPr>
      <w:r>
        <w:rPr>
          <w:rFonts w:ascii="Arial" w:cs="Arial" w:eastAsia="Arial" w:hAnsi="Arial"/>
          <w:i/>
          <w:iCs/>
          <w:color w:val="B87333"/>
          <w:sz w:val="20"/>
          <w:szCs w:val="20"/>
        </w:rPr>
        <w:t xml:space="preserve">Pedro Ramos Morales · In cuprum veritas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2026-03-06T20:29:27.982Z</dcterms:created>
  <dcterms:modified xsi:type="dcterms:W3CDTF">2026-03-06T20:29:27.982Z</dcterms:modified>
</cp:coreProperties>
</file>

<file path=docProps/custom.xml><?xml version="1.0" encoding="utf-8"?>
<Properties xmlns="http://schemas.openxmlformats.org/officeDocument/2006/custom-properties" xmlns:vt="http://schemas.openxmlformats.org/officeDocument/2006/docPropsVTypes"/>
</file>