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rFonts w:ascii="Arial" w:cs="Arial" w:eastAsia="Arial" w:hAnsi="Arial"/>
          <w:b/>
          <w:bCs/>
          <w:color w:val="B87333"/>
          <w:sz w:val="112"/>
          <w:szCs w:val="112"/>
        </w:rPr>
        <w:t xml:space="preserve">CLPT</w:t>
      </w:r>
    </w:p>
    <w:p>
      <w:pPr>
        <w:spacing w:before="0" w:after="120"/>
        <w:jc w:val="center"/>
      </w:pPr>
      <w:r>
        <w:rPr>
          <w:rFonts w:ascii="Arial" w:cs="Arial" w:eastAsia="Arial" w:hAnsi="Arial"/>
          <w:color w:val="0D1A2A"/>
          <w:sz w:val="44"/>
          <w:szCs w:val="44"/>
        </w:rPr>
        <w:t xml:space="preserve">Chilean Peso Token</w:t>
      </w:r>
    </w:p>
    <w:p>
      <w:pPr>
        <w:spacing w:before="0" w:after="80"/>
        <w:jc w:val="center"/>
      </w:pPr>
      <w:r>
        <w:rPr>
          <w:rFonts w:ascii="Arial" w:cs="Arial" w:eastAsia="Arial" w:hAnsi="Arial"/>
          <w:b/>
          <w:bCs/>
          <w:color w:val="C8903A"/>
          <w:sz w:val="26"/>
          <w:szCs w:val="26"/>
        </w:rPr>
        <w:t xml:space="preserve">PITCH DECK — INVERSORES</w:t>
      </w:r>
    </w:p>
    <w:p>
      <w:pPr>
        <w:spacing w:before="0" w:after="400"/>
        <w:jc w:val="center"/>
      </w:pPr>
      <w:r>
        <w:rPr>
          <w:rFonts w:ascii="Arial" w:cs="Arial" w:eastAsia="Arial" w:hAnsi="Arial"/>
          <w:i/>
          <w:iCs/>
          <w:color w:val="6B7280"/>
          <w:sz w:val="28"/>
          <w:szCs w:val="28"/>
        </w:rPr>
        <w:t xml:space="preserve">La Primera Stablecoin Soberana de Latinoamérica</w:t>
      </w:r>
    </w:p>
    <w:p>
      <w:pPr>
        <w:pBdr>
          <w:bottom w:val="single" w:color="B87333" w:sz="4" w:space="1"/>
        </w:pBdr>
        <w:spacing w:before="200" w:after="200"/>
      </w:pPr>
      <w:r>
        <w:t xml:space="preserve"/>
      </w:r>
    </w:p>
    <w:p>
      <w:pPr>
        <w:spacing w:before="200" w:after="80"/>
        <w:jc w:val="center"/>
      </w:pPr>
      <w:r>
        <w:rPr>
          <w:rFonts w:ascii="Arial" w:cs="Arial" w:eastAsia="Arial" w:hAnsi="Arial"/>
          <w:b/>
          <w:bCs/>
          <w:color w:val="0D1A2A"/>
          <w:sz w:val="24"/>
          <w:szCs w:val="24"/>
        </w:rPr>
        <w:t xml:space="preserve">Bitcopper Technologies LLC  ·  Wyoming, USA</w:t>
      </w:r>
    </w:p>
    <w:p>
      <w:pPr>
        <w:spacing w:before="0" w:after="80"/>
        <w:jc w:val="center"/>
      </w:pPr>
      <w:r>
        <w:rPr>
          <w:rFonts w:ascii="Arial" w:cs="Arial" w:eastAsia="Arial" w:hAnsi="Arial"/>
          <w:color w:val="0D1A2A"/>
          <w:sz w:val="22"/>
          <w:szCs w:val="22"/>
        </w:rPr>
        <w:t xml:space="preserve">Pedro Ramos Morales — Founder &amp; CEO</w:t>
      </w:r>
    </w:p>
    <w:p>
      <w:pPr>
        <w:spacing w:before="0" w:after="80"/>
        <w:jc w:val="center"/>
      </w:pPr>
      <w:r>
        <w:rPr>
          <w:rFonts w:ascii="Arial" w:cs="Arial" w:eastAsia="Arial" w:hAnsi="Arial"/>
          <w:color w:val="1D4ED8"/>
          <w:sz w:val="22"/>
          <w:szCs w:val="22"/>
        </w:rPr>
        <w:t xml:space="preserve">pedro@bitcoppertech.cl  ·  bitcoppertech.cl</w:t>
      </w:r>
    </w:p>
    <w:p>
      <w:pPr>
        <w:spacing w:before="0" w:after="80"/>
        <w:jc w:val="center"/>
      </w:pPr>
      <w:r>
        <w:rPr>
          <w:rFonts w:ascii="Arial" w:cs="Arial" w:eastAsia="Arial" w:hAnsi="Arial"/>
          <w:i/>
          <w:iCs/>
          <w:color w:val="6B7280"/>
          <w:sz w:val="20"/>
          <w:szCs w:val="20"/>
        </w:rPr>
        <w:t xml:space="preserve">Marzo 2026  ·  Confidencial</w:t>
      </w:r>
    </w:p>
    <w:p>
      <w:r>
        <w:br w:type="page"/>
      </w:r>
    </w:p>
    <w:p>
      <w:pPr>
        <w:pStyle w:val="Heading1"/>
        <w:spacing w:before="480" w:after="200"/>
      </w:pPr>
      <w:r>
        <w:rPr>
          <w:rFonts w:ascii="Arial" w:cs="Arial" w:eastAsia="Arial" w:hAnsi="Arial"/>
          <w:b/>
          <w:bCs/>
          <w:color w:val="B87333"/>
          <w:sz w:val="36"/>
          <w:szCs w:val="36"/>
        </w:rPr>
        <w:t xml:space="preserve">01 — El Problema</w:t>
      </w:r>
    </w:p>
    <w:p>
      <w:pPr>
        <w:spacing w:before="120" w:after="60"/>
        <w:jc w:val="center"/>
      </w:pPr>
      <w:r>
        <w:rPr>
          <w:rFonts w:ascii="Arial" w:cs="Arial" w:eastAsia="Arial" w:hAnsi="Arial"/>
          <w:b/>
          <w:bCs/>
          <w:color w:val="B87333"/>
          <w:sz w:val="72"/>
          <w:szCs w:val="72"/>
        </w:rPr>
        <w:t xml:space="preserve">650M</w:t>
      </w:r>
      <w:r>
        <w:rPr>
          <w:rFonts w:ascii="Arial" w:cs="Arial" w:eastAsia="Arial" w:hAnsi="Arial"/>
          <w:color w:val="6B7280"/>
          <w:sz w:val="24"/>
          <w:szCs w:val="24"/>
        </w:rPr>
        <w:t xml:space="preserve">  personas en Latinoamérica</w:t>
      </w:r>
    </w:p>
    <w:p>
      <w:pPr>
        <w:spacing w:before="120" w:after="60"/>
        <w:jc w:val="center"/>
      </w:pPr>
      <w:r>
        <w:rPr>
          <w:rFonts w:ascii="Arial" w:cs="Arial" w:eastAsia="Arial" w:hAnsi="Arial"/>
          <w:b/>
          <w:bCs/>
          <w:color w:val="B87333"/>
          <w:sz w:val="72"/>
          <w:szCs w:val="72"/>
        </w:rPr>
        <w:t xml:space="preserve">70%</w:t>
      </w:r>
      <w:r>
        <w:rPr>
          <w:rFonts w:ascii="Arial" w:cs="Arial" w:eastAsia="Arial" w:hAnsi="Arial"/>
          <w:color w:val="6B7280"/>
          <w:sz w:val="24"/>
          <w:szCs w:val="24"/>
        </w:rPr>
        <w:t xml:space="preserve">  sin acceso bancario pleno</w:t>
      </w:r>
    </w:p>
    <w:p>
      <w:pPr>
        <w:spacing w:before="120" w:after="60"/>
        <w:jc w:val="center"/>
      </w:pPr>
      <w:r>
        <w:rPr>
          <w:rFonts w:ascii="Arial" w:cs="Arial" w:eastAsia="Arial" w:hAnsi="Arial"/>
          <w:b/>
          <w:bCs/>
          <w:color w:val="B87333"/>
          <w:sz w:val="72"/>
          <w:szCs w:val="72"/>
        </w:rPr>
        <w:t xml:space="preserve">$40B</w:t>
      </w:r>
      <w:r>
        <w:rPr>
          <w:rFonts w:ascii="Arial" w:cs="Arial" w:eastAsia="Arial" w:hAnsi="Arial"/>
          <w:color w:val="6B7280"/>
          <w:sz w:val="24"/>
          <w:szCs w:val="24"/>
        </w:rPr>
        <w:t xml:space="preserve">  perdidos en comisiones de remesas anualmente</w:t>
      </w:r>
    </w:p>
    <w:p>
      <w:pPr>
        <w:spacing w:before="120" w:after="60"/>
        <w:jc w:val="center"/>
      </w:pPr>
      <w:r>
        <w:rPr>
          <w:rFonts w:ascii="Arial" w:cs="Arial" w:eastAsia="Arial" w:hAnsi="Arial"/>
          <w:b/>
          <w:bCs/>
          <w:color w:val="B87333"/>
          <w:sz w:val="72"/>
          <w:szCs w:val="72"/>
        </w:rPr>
        <w:t xml:space="preserve">0</w:t>
      </w:r>
      <w:r>
        <w:rPr>
          <w:rFonts w:ascii="Arial" w:cs="Arial" w:eastAsia="Arial" w:hAnsi="Arial"/>
          <w:color w:val="6B7280"/>
          <w:sz w:val="24"/>
          <w:szCs w:val="24"/>
        </w:rPr>
        <w:t xml:space="preserve">  stablecoins soberanas en moneda local latinoamericana</w:t>
      </w:r>
    </w:p>
    <w:p>
      <w:pPr>
        <w:spacing w:before="100" w:after="100"/>
      </w:pPr>
      <w:r>
        <w:rPr>
          <w:rFonts w:ascii="Arial" w:cs="Arial" w:eastAsia="Arial" w:hAnsi="Arial"/>
          <w:color w:val="1A1A2E"/>
          <w:sz w:val="22"/>
          <w:szCs w:val="22"/>
        </w:rPr>
        <w:t xml:space="preserve"/>
      </w:r>
    </w:p>
    <w:p>
      <w:pPr>
        <w:spacing w:before="100" w:after="100"/>
      </w:pPr>
      <w:r>
        <w:rPr>
          <w:rFonts w:ascii="Arial" w:cs="Arial" w:eastAsia="Arial" w:hAnsi="Arial"/>
          <w:i/>
          <w:iCs/>
          <w:color w:val="1A1A2E"/>
          <w:sz w:val="22"/>
          <w:szCs w:val="22"/>
        </w:rPr>
        <w:t xml:space="preserve">Los latinoamericanos no tienen una moneda digital estable en SU propia moneda. USDT es en dólares. Los CBDCs son vigilancia estatal. No existe hoy ningún instrumento que combine la estabilidad del peso chileno con la libertad de blockchain.</w:t>
      </w:r>
    </w:p>
    <w:p>
      <w:r>
        <w:br w:type="page"/>
      </w:r>
    </w:p>
    <w:p>
      <w:pPr>
        <w:pStyle w:val="Heading1"/>
        <w:spacing w:before="480" w:after="200"/>
      </w:pPr>
      <w:r>
        <w:rPr>
          <w:rFonts w:ascii="Arial" w:cs="Arial" w:eastAsia="Arial" w:hAnsi="Arial"/>
          <w:b/>
          <w:bCs/>
          <w:color w:val="B87333"/>
          <w:sz w:val="36"/>
          <w:szCs w:val="36"/>
        </w:rPr>
        <w:t xml:space="preserve">02 — La Solución: CLPT</w:t>
      </w:r>
    </w:p>
    <w:p>
      <w:pPr>
        <w:spacing w:before="100" w:after="100"/>
      </w:pPr>
      <w:r>
        <w:rPr>
          <w:rFonts w:ascii="Arial" w:cs="Arial" w:eastAsia="Arial" w:hAnsi="Arial"/>
          <w:color w:val="1A1A2E"/>
          <w:sz w:val="22"/>
          <w:szCs w:val="22"/>
        </w:rPr>
        <w:t xml:space="preserve">CLPT es un token ERC-20 en Polygon con paridad 1:1 al peso chileno, respaldado por reserva auditada, operable sin banco, sin CBDC y sin dependencia de estados.</w:t>
      </w:r>
    </w:p>
    <w:p>
      <w:pPr>
        <w:spacing w:before="100" w:after="10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2"/>
                <w:szCs w:val="22"/>
              </w:rPr>
              <w:t xml:space="preserve">PROBLEMA</w:t>
            </w:r>
          </w:p>
        </w:tc>
        <w:tc>
          <w:tcPr>
            <w:tcW w:type="dxa" w:w="468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2"/>
                <w:szCs w:val="22"/>
              </w:rPr>
              <w:t xml:space="preserve">CLPT LO RESUELVE</w:t>
            </w:r>
          </w:p>
        </w:tc>
      </w:tr>
      <w:tr>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Sin cuenta bancaria</w:t>
            </w:r>
          </w:p>
        </w:tc>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20"/>
                <w:szCs w:val="20"/>
              </w:rPr>
              <w:t xml:space="preserve">Wallet en celular, sin banco</w:t>
            </w:r>
          </w:p>
        </w:tc>
      </w:tr>
      <w:tr>
        <w:tc>
          <w:tcPr>
            <w:tcW w:type="dxa" w:w="468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Remesas cuestan 8%</w:t>
            </w:r>
          </w:p>
        </w:tc>
        <w:tc>
          <w:tcPr>
            <w:tcW w:type="dxa" w:w="468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Transferencia en CLPT, costo &lt;$0.01</w:t>
            </w:r>
          </w:p>
        </w:tc>
      </w:tr>
      <w:tr>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CBDC = vigilancia estatal</w:t>
            </w:r>
          </w:p>
        </w:tc>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20"/>
                <w:szCs w:val="20"/>
              </w:rPr>
              <w:t xml:space="preserve">CLPT = soberanía del ciudadano</w:t>
            </w:r>
          </w:p>
        </w:tc>
      </w:tr>
      <w:tr>
        <w:tc>
          <w:tcPr>
            <w:tcW w:type="dxa" w:w="468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No hay stablecoin en CLP</w:t>
            </w:r>
          </w:p>
        </w:tc>
        <w:tc>
          <w:tcPr>
            <w:tcW w:type="dxa" w:w="468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CLPT = 1:1 peso chileno exacto</w:t>
            </w:r>
          </w:p>
        </w:tc>
      </w:tr>
      <w:tr>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Inflación destruye ahorros</w:t>
            </w:r>
          </w:p>
        </w:tc>
        <w:tc>
          <w:tcPr>
            <w:tcW w:type="dxa" w:w="468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16A34A"/>
                <w:sz w:val="20"/>
                <w:szCs w:val="20"/>
              </w:rPr>
              <w:t xml:space="preserve">CLPT mantiene poder adquisitivo CLP</w:t>
            </w:r>
          </w:p>
        </w:tc>
      </w:tr>
    </w:tbl>
    <w:p>
      <w:r>
        <w:br w:type="page"/>
      </w:r>
    </w:p>
    <w:p>
      <w:pPr>
        <w:pStyle w:val="Heading1"/>
        <w:spacing w:before="480" w:after="200"/>
      </w:pPr>
      <w:r>
        <w:rPr>
          <w:rFonts w:ascii="Arial" w:cs="Arial" w:eastAsia="Arial" w:hAnsi="Arial"/>
          <w:b/>
          <w:bCs/>
          <w:color w:val="B87333"/>
          <w:sz w:val="36"/>
          <w:szCs w:val="36"/>
        </w:rPr>
        <w:t xml:space="preserve">03 — Tamaño del Mercado</w:t>
      </w:r>
    </w:p>
    <w:p>
      <w:pPr>
        <w:spacing w:before="120" w:after="60"/>
        <w:jc w:val="center"/>
      </w:pPr>
      <w:r>
        <w:rPr>
          <w:rFonts w:ascii="Arial" w:cs="Arial" w:eastAsia="Arial" w:hAnsi="Arial"/>
          <w:b/>
          <w:bCs/>
          <w:color w:val="B87333"/>
          <w:sz w:val="72"/>
          <w:szCs w:val="72"/>
        </w:rPr>
        <w:t xml:space="preserve">$85B</w:t>
      </w:r>
      <w:r>
        <w:rPr>
          <w:rFonts w:ascii="Arial" w:cs="Arial" w:eastAsia="Arial" w:hAnsi="Arial"/>
          <w:color w:val="6B7280"/>
          <w:sz w:val="24"/>
          <w:szCs w:val="24"/>
        </w:rPr>
        <w:t xml:space="preserve">  mercado remesas Latinoamérica/año</w:t>
      </w:r>
    </w:p>
    <w:p>
      <w:pPr>
        <w:spacing w:before="120" w:after="60"/>
        <w:jc w:val="center"/>
      </w:pPr>
      <w:r>
        <w:rPr>
          <w:rFonts w:ascii="Arial" w:cs="Arial" w:eastAsia="Arial" w:hAnsi="Arial"/>
          <w:b/>
          <w:bCs/>
          <w:color w:val="B87333"/>
          <w:sz w:val="72"/>
          <w:szCs w:val="72"/>
        </w:rPr>
        <w:t xml:space="preserve">$2.1T</w:t>
      </w:r>
      <w:r>
        <w:rPr>
          <w:rFonts w:ascii="Arial" w:cs="Arial" w:eastAsia="Arial" w:hAnsi="Arial"/>
          <w:color w:val="6B7280"/>
          <w:sz w:val="24"/>
          <w:szCs w:val="24"/>
        </w:rPr>
        <w:t xml:space="preserve">  M2 monetario combinado LATAM</w:t>
      </w:r>
    </w:p>
    <w:p>
      <w:pPr>
        <w:spacing w:before="120" w:after="60"/>
        <w:jc w:val="center"/>
      </w:pPr>
      <w:r>
        <w:rPr>
          <w:rFonts w:ascii="Arial" w:cs="Arial" w:eastAsia="Arial" w:hAnsi="Arial"/>
          <w:b/>
          <w:bCs/>
          <w:color w:val="B87333"/>
          <w:sz w:val="72"/>
          <w:szCs w:val="72"/>
        </w:rPr>
        <w:t xml:space="preserve">18M</w:t>
      </w:r>
      <w:r>
        <w:rPr>
          <w:rFonts w:ascii="Arial" w:cs="Arial" w:eastAsia="Arial" w:hAnsi="Arial"/>
          <w:color w:val="6B7280"/>
          <w:sz w:val="24"/>
          <w:szCs w:val="24"/>
        </w:rPr>
        <w:t xml:space="preserve">  usuarios de crypto en Chile y LATAM hoy</w:t>
      </w:r>
    </w:p>
    <w:p>
      <w:pPr>
        <w:spacing w:before="120" w:after="60"/>
        <w:jc w:val="center"/>
      </w:pPr>
      <w:r>
        <w:rPr>
          <w:rFonts w:ascii="Arial" w:cs="Arial" w:eastAsia="Arial" w:hAnsi="Arial"/>
          <w:b/>
          <w:bCs/>
          <w:color w:val="B87333"/>
          <w:sz w:val="72"/>
          <w:szCs w:val="72"/>
        </w:rPr>
        <w:t xml:space="preserve">$140B</w:t>
      </w:r>
      <w:r>
        <w:rPr>
          <w:rFonts w:ascii="Arial" w:cs="Arial" w:eastAsia="Arial" w:hAnsi="Arial"/>
          <w:color w:val="6B7280"/>
          <w:sz w:val="24"/>
          <w:szCs w:val="24"/>
        </w:rPr>
        <w:t xml:space="preserve">  market cap de Tether (USDT) — nuestro comparable</w:t>
      </w:r>
    </w:p>
    <w:p>
      <w:pPr>
        <w:spacing w:before="100" w:after="100"/>
      </w:pPr>
      <w:r>
        <w:rPr>
          <w:rFonts w:ascii="Arial" w:cs="Arial" w:eastAsia="Arial" w:hAnsi="Arial"/>
          <w:color w:val="1A1A2E"/>
          <w:sz w:val="22"/>
          <w:szCs w:val="22"/>
        </w:rPr>
        <w:t xml:space="preserve"/>
      </w:r>
    </w:p>
    <w:p>
      <w:pPr>
        <w:spacing w:before="100" w:after="100"/>
      </w:pPr>
      <w:r>
        <w:rPr>
          <w:rFonts w:ascii="Arial" w:cs="Arial" w:eastAsia="Arial" w:hAnsi="Arial"/>
          <w:b/>
          <w:bCs/>
          <w:color w:val="1A1A2E"/>
          <w:sz w:val="22"/>
          <w:szCs w:val="22"/>
        </w:rPr>
        <w:t xml:space="preserve">Tether domina el mercado global en USD. Nadie domina el mercado latinoamericano en moneda local. CLPT entra en ese vacío con ventaja de primer entrante.</w:t>
      </w:r>
    </w:p>
    <w:p>
      <w:r>
        <w:br w:type="page"/>
      </w:r>
    </w:p>
    <w:p>
      <w:pPr>
        <w:pStyle w:val="Heading1"/>
        <w:spacing w:before="480" w:after="200"/>
      </w:pPr>
      <w:r>
        <w:rPr>
          <w:rFonts w:ascii="Arial" w:cs="Arial" w:eastAsia="Arial" w:hAnsi="Arial"/>
          <w:b/>
          <w:bCs/>
          <w:color w:val="B87333"/>
          <w:sz w:val="36"/>
          <w:szCs w:val="36"/>
        </w:rPr>
        <w:t xml:space="preserve">04 — Modelo de Negocio</w:t>
      </w:r>
    </w:p>
    <w:p>
      <w:pPr>
        <w:pStyle w:val="Heading2"/>
        <w:spacing w:before="320" w:after="160"/>
      </w:pPr>
      <w:r>
        <w:rPr>
          <w:rFonts w:ascii="Arial" w:cs="Arial" w:eastAsia="Arial" w:hAnsi="Arial"/>
          <w:b/>
          <w:bCs/>
          <w:color w:val="0D1A2A"/>
          <w:sz w:val="28"/>
          <w:szCs w:val="28"/>
        </w:rPr>
        <w:t xml:space="preserve">Fuentes de Ingresos</w:t>
      </w:r>
    </w:p>
    <w:p>
      <w:pPr>
        <w:pStyle w:val="ListParagraph"/>
        <w:numPr>
          <w:ilvl w:val="0"/>
          <w:numId w:val="2"/>
        </w:numPr>
        <w:spacing w:before="60" w:after="60"/>
      </w:pPr>
      <w:r>
        <w:rPr>
          <w:rFonts w:ascii="Arial" w:cs="Arial" w:eastAsia="Arial" w:hAnsi="Arial"/>
          <w:color w:val="1A1A2E"/>
          <w:sz w:val="22"/>
          <w:szCs w:val="22"/>
        </w:rPr>
        <w:t xml:space="preserve">Comisiones de emisión/quema: 0.1% por cada mint/burn de CLPT.</w:t>
      </w:r>
    </w:p>
    <w:p>
      <w:pPr>
        <w:pStyle w:val="ListParagraph"/>
        <w:numPr>
          <w:ilvl w:val="0"/>
          <w:numId w:val="2"/>
        </w:numPr>
        <w:spacing w:before="60" w:after="60"/>
      </w:pPr>
      <w:r>
        <w:rPr>
          <w:rFonts w:ascii="Arial" w:cs="Arial" w:eastAsia="Arial" w:hAnsi="Arial"/>
          <w:color w:val="1A1A2E"/>
          <w:sz w:val="22"/>
          <w:szCs w:val="22"/>
        </w:rPr>
        <w:t xml:space="preserve">Comisiones de red Bitcopper-Core: gas pagado en CLPT por transacciones institucionales.</w:t>
      </w:r>
    </w:p>
    <w:p>
      <w:pPr>
        <w:pStyle w:val="ListParagraph"/>
        <w:numPr>
          <w:ilvl w:val="0"/>
          <w:numId w:val="2"/>
        </w:numPr>
        <w:spacing w:before="60" w:after="60"/>
      </w:pPr>
      <w:r>
        <w:rPr>
          <w:rFonts w:ascii="Arial" w:cs="Arial" w:eastAsia="Arial" w:hAnsi="Arial"/>
          <w:color w:val="1A1A2E"/>
          <w:sz w:val="22"/>
          <w:szCs w:val="22"/>
        </w:rPr>
        <w:t xml:space="preserve">Spread de reserva: rendimiento sobre reserva CLP en instrumentos de renta fija CMF.</w:t>
      </w:r>
    </w:p>
    <w:p>
      <w:pPr>
        <w:pStyle w:val="ListParagraph"/>
        <w:numPr>
          <w:ilvl w:val="0"/>
          <w:numId w:val="2"/>
        </w:numPr>
        <w:spacing w:before="60" w:after="60"/>
      </w:pPr>
      <w:r>
        <w:rPr>
          <w:rFonts w:ascii="Arial" w:cs="Arial" w:eastAsia="Arial" w:hAnsi="Arial"/>
          <w:color w:val="1A1A2E"/>
          <w:sz w:val="22"/>
          <w:szCs w:val="22"/>
        </w:rPr>
        <w:t xml:space="preserve">Licencias de infraestructura: cobro a exchanges por nodo Bitcopper-Core dedicado.</w:t>
      </w:r>
    </w:p>
    <w:p>
      <w:pPr>
        <w:pStyle w:val="ListParagraph"/>
        <w:numPr>
          <w:ilvl w:val="0"/>
          <w:numId w:val="2"/>
        </w:numPr>
        <w:spacing w:before="60" w:after="60"/>
      </w:pPr>
      <w:r>
        <w:rPr>
          <w:rFonts w:ascii="Arial" w:cs="Arial" w:eastAsia="Arial" w:hAnsi="Arial"/>
          <w:color w:val="1A1A2E"/>
          <w:sz w:val="22"/>
          <w:szCs w:val="22"/>
        </w:rPr>
        <w:t xml:space="preserve">Expansión regional: ARST, BRLT, MXNT, COPT, PERT — misma infraestructura, nuevo mercado.</w:t>
      </w:r>
    </w:p>
    <w:p>
      <w:pPr>
        <w:spacing w:before="100" w:after="100"/>
      </w:pPr>
      <w:r>
        <w:rPr>
          <w:rFonts w:ascii="Arial" w:cs="Arial" w:eastAsia="Arial" w:hAnsi="Arial"/>
          <w:color w:val="1A1A2E"/>
          <w:sz w:val="22"/>
          <w:szCs w:val="22"/>
        </w:rPr>
        <w:t xml:space="preserve"/>
      </w:r>
    </w:p>
    <w:p>
      <w:pPr>
        <w:pStyle w:val="Heading2"/>
        <w:spacing w:before="320" w:after="160"/>
      </w:pPr>
      <w:r>
        <w:rPr>
          <w:rFonts w:ascii="Arial" w:cs="Arial" w:eastAsia="Arial" w:hAnsi="Arial"/>
          <w:b/>
          <w:bCs/>
          <w:color w:val="0D1A2A"/>
          <w:sz w:val="28"/>
          <w:szCs w:val="28"/>
        </w:rPr>
        <w:t xml:space="preserve">Proyección Conservadora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AÑO</w:t>
            </w:r>
          </w:p>
        </w:tc>
        <w:tc>
          <w:tcPr>
            <w:tcW w:type="dxa" w:w="234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CLPT EN CIRCULACIÓN</w:t>
            </w:r>
          </w:p>
        </w:tc>
        <w:tc>
          <w:tcPr>
            <w:tcW w:type="dxa" w:w="234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VOLUMEN ANUAL</w:t>
            </w:r>
          </w:p>
        </w:tc>
        <w:tc>
          <w:tcPr>
            <w:tcW w:type="dxa" w:w="234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INGRESOS EST.</w:t>
            </w:r>
          </w:p>
        </w:tc>
      </w:tr>
      <w:tr>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2026</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500M CLPT</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$2B CLP</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$200M CLP</w:t>
            </w:r>
          </w:p>
        </w:tc>
      </w:tr>
      <w:tr>
        <w:tc>
          <w:tcPr>
            <w:tcW w:type="dxa" w:w="234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2027</w:t>
            </w:r>
          </w:p>
        </w:tc>
        <w:tc>
          <w:tcPr>
            <w:tcW w:type="dxa" w:w="234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5B CLPT</w:t>
            </w:r>
          </w:p>
        </w:tc>
        <w:tc>
          <w:tcPr>
            <w:tcW w:type="dxa" w:w="234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$20B CLP</w:t>
            </w:r>
          </w:p>
        </w:tc>
        <w:tc>
          <w:tcPr>
            <w:tcW w:type="dxa" w:w="234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$2B CLP</w:t>
            </w:r>
          </w:p>
        </w:tc>
      </w:tr>
      <w:tr>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2028</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50B CLPT</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$200B CLP</w:t>
            </w:r>
          </w:p>
        </w:tc>
        <w:tc>
          <w:tcPr>
            <w:tcW w:type="dxa" w:w="234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$20B CLP</w:t>
            </w:r>
          </w:p>
        </w:tc>
      </w:tr>
    </w:tbl>
    <w:p>
      <w:r>
        <w:br w:type="page"/>
      </w:r>
    </w:p>
    <w:p>
      <w:pPr>
        <w:pStyle w:val="Heading1"/>
        <w:spacing w:before="480" w:after="200"/>
      </w:pPr>
      <w:r>
        <w:rPr>
          <w:rFonts w:ascii="Arial" w:cs="Arial" w:eastAsia="Arial" w:hAnsi="Arial"/>
          <w:b/>
          <w:bCs/>
          <w:color w:val="B87333"/>
          <w:sz w:val="36"/>
          <w:szCs w:val="36"/>
        </w:rPr>
        <w:t xml:space="preserve">05 — Uso del Capital — $100M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DESTINO</w:t>
            </w:r>
          </w:p>
        </w:tc>
        <w:tc>
          <w:tcPr>
            <w:tcW w:type="dxa" w:w="180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MONTO</w:t>
            </w:r>
          </w:p>
        </w:tc>
        <w:tc>
          <w:tcPr>
            <w:tcW w:type="dxa" w:w="5560"/>
            <w:tcBorders>
              <w:top w:val="single" w:color="D4A843" w:sz="1"/>
              <w:left w:val="single" w:color="D4A843" w:sz="1"/>
              <w:bottom w:val="single" w:color="D4A843" w:sz="1"/>
              <w:right w:val="single" w:color="D4A843" w:sz="1"/>
            </w:tcBorders>
            <w:shd w:fill="B87333"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20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B87333"/>
                <w:sz w:val="20"/>
                <w:szCs w:val="20"/>
              </w:rPr>
              <w:t xml:space="preserve">Reserva CLPT</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0D1A2A"/>
                <w:sz w:val="20"/>
                <w:szCs w:val="20"/>
              </w:rPr>
              <w:t xml:space="preserve">$80M USD</w:t>
            </w:r>
          </w:p>
        </w:tc>
        <w:tc>
          <w:tcPr>
            <w:tcW w:type="dxa" w:w="5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Respaldo 1:1 peso chileno. Custodiado en instrumentos regulados CMF.</w:t>
            </w:r>
          </w:p>
        </w:tc>
      </w:tr>
      <w:tr>
        <w:tc>
          <w:tcPr>
            <w:tcW w:type="dxa" w:w="20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B87333"/>
                <w:sz w:val="20"/>
                <w:szCs w:val="20"/>
              </w:rPr>
              <w:t xml:space="preserve">Bitcopper-Core</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0D1A2A"/>
                <w:sz w:val="20"/>
                <w:szCs w:val="20"/>
              </w:rPr>
              <w:t xml:space="preserve">$8M USD</w:t>
            </w:r>
          </w:p>
        </w:tc>
        <w:tc>
          <w:tcPr>
            <w:tcW w:type="dxa" w:w="5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Desarrollo e infraestructura de la red de liquidación institucional.</w:t>
            </w:r>
          </w:p>
        </w:tc>
      </w:tr>
      <w:tr>
        <w:tc>
          <w:tcPr>
            <w:tcW w:type="dxa" w:w="20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B87333"/>
                <w:sz w:val="20"/>
                <w:szCs w:val="20"/>
              </w:rPr>
              <w:t xml:space="preserve">Cumplimiento Legal</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0D1A2A"/>
                <w:sz w:val="20"/>
                <w:szCs w:val="20"/>
              </w:rPr>
              <w:t xml:space="preserve">$5M USD</w:t>
            </w:r>
          </w:p>
        </w:tc>
        <w:tc>
          <w:tcPr>
            <w:tcW w:type="dxa" w:w="5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CMF, UAF, Wyoming LLC, auditorías trimestrales, abogados.</w:t>
            </w:r>
          </w:p>
        </w:tc>
      </w:tr>
      <w:tr>
        <w:tc>
          <w:tcPr>
            <w:tcW w:type="dxa" w:w="20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B87333"/>
                <w:sz w:val="20"/>
                <w:szCs w:val="20"/>
              </w:rPr>
              <w:t xml:space="preserve">Expansión Latam</w:t>
            </w:r>
          </w:p>
        </w:tc>
        <w:tc>
          <w:tcPr>
            <w:tcW w:type="dxa" w:w="180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b/>
                <w:bCs/>
                <w:color w:val="0D1A2A"/>
                <w:sz w:val="20"/>
                <w:szCs w:val="20"/>
              </w:rPr>
              <w:t xml:space="preserve">$4M USD</w:t>
            </w:r>
          </w:p>
        </w:tc>
        <w:tc>
          <w:tcPr>
            <w:tcW w:type="dxa" w:w="5560"/>
            <w:tcBorders>
              <w:top w:val="single" w:color="D4A843" w:sz="1"/>
              <w:left w:val="single" w:color="D4A843" w:sz="1"/>
              <w:bottom w:val="single" w:color="D4A843" w:sz="1"/>
              <w:right w:val="single" w:color="D4A843" w:sz="1"/>
            </w:tcBorders>
            <w:shd w:fill="FFFFFF" w:val="clear"/>
            <w:tcMar>
              <w:top w:type="dxa" w:w="100"/>
              <w:left w:type="dxa" w:w="150"/>
              <w:bottom w:type="dxa" w:w="100"/>
              <w:right w:type="dxa" w:w="150"/>
            </w:tcMar>
          </w:tcPr>
          <w:p>
            <w:r>
              <w:rPr>
                <w:rFonts w:ascii="Arial" w:cs="Arial" w:eastAsia="Arial" w:hAnsi="Arial"/>
                <w:color w:val="0D1A2A"/>
                <w:sz w:val="20"/>
                <w:szCs w:val="20"/>
              </w:rPr>
              <w:t xml:space="preserve">ARST, BRLT, MXNT — desarrollo, reservas iniciales, partnerships.</w:t>
            </w:r>
          </w:p>
        </w:tc>
      </w:tr>
      <w:tr>
        <w:tc>
          <w:tcPr>
            <w:tcW w:type="dxa" w:w="20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B87333"/>
                <w:sz w:val="20"/>
                <w:szCs w:val="20"/>
              </w:rPr>
              <w:t xml:space="preserve">Operaciones</w:t>
            </w:r>
          </w:p>
        </w:tc>
        <w:tc>
          <w:tcPr>
            <w:tcW w:type="dxa" w:w="180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b/>
                <w:bCs/>
                <w:color w:val="0D1A2A"/>
                <w:sz w:val="20"/>
                <w:szCs w:val="20"/>
              </w:rPr>
              <w:t xml:space="preserve">$3M USD</w:t>
            </w:r>
          </w:p>
        </w:tc>
        <w:tc>
          <w:tcPr>
            <w:tcW w:type="dxa" w:w="5560"/>
            <w:tcBorders>
              <w:top w:val="single" w:color="D4A843" w:sz="1"/>
              <w:left w:val="single" w:color="D4A843" w:sz="1"/>
              <w:bottom w:val="single" w:color="D4A843" w:sz="1"/>
              <w:right w:val="single" w:color="D4A843" w:sz="1"/>
            </w:tcBorders>
            <w:shd w:fill="F5F0E8" w:val="clear"/>
            <w:tcMar>
              <w:top w:type="dxa" w:w="100"/>
              <w:left w:type="dxa" w:w="150"/>
              <w:bottom w:type="dxa" w:w="100"/>
              <w:right w:type="dxa" w:w="150"/>
            </w:tcMar>
          </w:tcPr>
          <w:p>
            <w:r>
              <w:rPr>
                <w:rFonts w:ascii="Arial" w:cs="Arial" w:eastAsia="Arial" w:hAnsi="Arial"/>
                <w:color w:val="0D1A2A"/>
                <w:sz w:val="20"/>
                <w:szCs w:val="20"/>
              </w:rPr>
              <w:t xml:space="preserve">Equipo, servidores, marketing, integraciones con exchanges.</w:t>
            </w:r>
          </w:p>
        </w:tc>
      </w:tr>
    </w:tbl>
    <w:p>
      <w:r>
        <w:br w:type="page"/>
      </w:r>
    </w:p>
    <w:p>
      <w:pPr>
        <w:pStyle w:val="Heading1"/>
        <w:spacing w:before="480" w:after="200"/>
      </w:pPr>
      <w:r>
        <w:rPr>
          <w:rFonts w:ascii="Arial" w:cs="Arial" w:eastAsia="Arial" w:hAnsi="Arial"/>
          <w:b/>
          <w:bCs/>
          <w:color w:val="B87333"/>
          <w:sz w:val="36"/>
          <w:szCs w:val="36"/>
        </w:rPr>
        <w:t xml:space="preserve">06 — Ventaja Competitiva</w:t>
      </w:r>
    </w:p>
    <w:p>
      <w:pPr>
        <w:pStyle w:val="ListParagraph"/>
        <w:numPr>
          <w:ilvl w:val="0"/>
          <w:numId w:val="2"/>
        </w:numPr>
        <w:spacing w:before="60" w:after="60"/>
      </w:pPr>
      <w:r>
        <w:rPr>
          <w:rFonts w:ascii="Arial" w:cs="Arial" w:eastAsia="Arial" w:hAnsi="Arial"/>
          <w:color w:val="1A1A2E"/>
          <w:sz w:val="22"/>
          <w:szCs w:val="22"/>
        </w:rPr>
        <w:t xml:space="preserve">Primer entrante: no existe ninguna stablecoin soberana en CLP. El mercado está vacío.</w:t>
      </w:r>
    </w:p>
    <w:p>
      <w:pPr>
        <w:pStyle w:val="ListParagraph"/>
        <w:numPr>
          <w:ilvl w:val="0"/>
          <w:numId w:val="2"/>
        </w:numPr>
        <w:spacing w:before="60" w:after="60"/>
      </w:pPr>
      <w:r>
        <w:rPr>
          <w:rFonts w:ascii="Arial" w:cs="Arial" w:eastAsia="Arial" w:hAnsi="Arial"/>
          <w:color w:val="1A1A2E"/>
          <w:sz w:val="22"/>
          <w:szCs w:val="22"/>
        </w:rPr>
        <w:t xml:space="preserve">Infraestructura propia: Bitcopper-Core como capa institucional — no dependemos de terceros.</w:t>
      </w:r>
    </w:p>
    <w:p>
      <w:pPr>
        <w:pStyle w:val="ListParagraph"/>
        <w:numPr>
          <w:ilvl w:val="0"/>
          <w:numId w:val="2"/>
        </w:numPr>
        <w:spacing w:before="60" w:after="60"/>
      </w:pPr>
      <w:r>
        <w:rPr>
          <w:rFonts w:ascii="Arial" w:cs="Arial" w:eastAsia="Arial" w:hAnsi="Arial"/>
          <w:color w:val="1A1A2E"/>
          <w:sz w:val="22"/>
          <w:szCs w:val="22"/>
        </w:rPr>
        <w:t xml:space="preserve">Respaldo físico: CLPT está integrado al ecosistema BITCU/CUPR respaldado por calor real.</w:t>
      </w:r>
    </w:p>
    <w:p>
      <w:pPr>
        <w:pStyle w:val="ListParagraph"/>
        <w:numPr>
          <w:ilvl w:val="0"/>
          <w:numId w:val="2"/>
        </w:numPr>
        <w:spacing w:before="60" w:after="60"/>
      </w:pPr>
      <w:r>
        <w:rPr>
          <w:rFonts w:ascii="Arial" w:cs="Arial" w:eastAsia="Arial" w:hAnsi="Arial"/>
          <w:color w:val="1A1A2E"/>
          <w:sz w:val="22"/>
          <w:szCs w:val="22"/>
        </w:rPr>
        <w:t xml:space="preserve">Regulatorio: estructura LLC Wyoming + SpA Chile permite operar en ambos mercados simultáneamente.</w:t>
      </w:r>
    </w:p>
    <w:p>
      <w:pPr>
        <w:pStyle w:val="ListParagraph"/>
        <w:numPr>
          <w:ilvl w:val="0"/>
          <w:numId w:val="2"/>
        </w:numPr>
        <w:spacing w:before="60" w:after="60"/>
      </w:pPr>
      <w:r>
        <w:rPr>
          <w:rFonts w:ascii="Arial" w:cs="Arial" w:eastAsia="Arial" w:hAnsi="Arial"/>
          <w:color w:val="1A1A2E"/>
          <w:sz w:val="22"/>
          <w:szCs w:val="22"/>
        </w:rPr>
        <w:t xml:space="preserve">Expansión natural: la misma infraestructura sirve para 6 países — ARST, BRLT, MXNT, COPT, PERT.</w:t>
      </w:r>
    </w:p>
    <w:p>
      <w:pPr>
        <w:pStyle w:val="ListParagraph"/>
        <w:numPr>
          <w:ilvl w:val="0"/>
          <w:numId w:val="2"/>
        </w:numPr>
        <w:spacing w:before="60" w:after="60"/>
      </w:pPr>
      <w:r>
        <w:rPr>
          <w:rFonts w:ascii="Arial" w:cs="Arial" w:eastAsia="Arial" w:hAnsi="Arial"/>
          <w:color w:val="1A1A2E"/>
          <w:sz w:val="22"/>
          <w:szCs w:val="22"/>
        </w:rPr>
        <w:t xml:space="preserve">Protocolo x402: agentes de IA pagan en CLPT — primer caso de uso de micropagos en CLP.</w:t>
      </w:r>
    </w:p>
    <w:p>
      <w:r>
        <w:br w:type="page"/>
      </w:r>
    </w:p>
    <w:p>
      <w:pPr>
        <w:pStyle w:val="Heading1"/>
        <w:spacing w:before="480" w:after="200"/>
      </w:pPr>
      <w:r>
        <w:rPr>
          <w:rFonts w:ascii="Arial" w:cs="Arial" w:eastAsia="Arial" w:hAnsi="Arial"/>
          <w:b/>
          <w:bCs/>
          <w:color w:val="B87333"/>
          <w:sz w:val="36"/>
          <w:szCs w:val="36"/>
        </w:rPr>
        <w:t xml:space="preserve">07 — Equipo Fundador</w:t>
      </w:r>
    </w:p>
    <w:p>
      <w:pPr>
        <w:pStyle w:val="Heading2"/>
        <w:spacing w:before="320" w:after="160"/>
      </w:pPr>
      <w:r>
        <w:rPr>
          <w:rFonts w:ascii="Arial" w:cs="Arial" w:eastAsia="Arial" w:hAnsi="Arial"/>
          <w:b/>
          <w:bCs/>
          <w:color w:val="0D1A2A"/>
          <w:sz w:val="28"/>
          <w:szCs w:val="28"/>
        </w:rPr>
        <w:t xml:space="preserve">Pedro Ramos Morales — Founder &amp; CEO</w:t>
      </w:r>
    </w:p>
    <w:p>
      <w:pPr>
        <w:pStyle w:val="ListParagraph"/>
        <w:numPr>
          <w:ilvl w:val="0"/>
          <w:numId w:val="2"/>
        </w:numPr>
        <w:spacing w:before="60" w:after="60"/>
      </w:pPr>
      <w:r>
        <w:rPr>
          <w:rFonts w:ascii="Arial" w:cs="Arial" w:eastAsia="Arial" w:hAnsi="Arial"/>
          <w:color w:val="1A1A2E"/>
          <w:sz w:val="22"/>
          <w:szCs w:val="22"/>
        </w:rPr>
        <w:t xml:space="preserve">Origen: Chuquicamata, Calama, Chile — la capital mundial del cobre.</w:t>
      </w:r>
    </w:p>
    <w:p>
      <w:pPr>
        <w:pStyle w:val="ListParagraph"/>
        <w:numPr>
          <w:ilvl w:val="0"/>
          <w:numId w:val="2"/>
        </w:numPr>
        <w:spacing w:before="60" w:after="60"/>
      </w:pPr>
      <w:r>
        <w:rPr>
          <w:rFonts w:ascii="Arial" w:cs="Arial" w:eastAsia="Arial" w:hAnsi="Arial"/>
          <w:color w:val="1A1A2E"/>
          <w:sz w:val="22"/>
          <w:szCs w:val="22"/>
        </w:rPr>
        <w:t xml:space="preserve">Creador del protocolo Proof of Heat y la arquitectura TAL v2.0.</w:t>
      </w:r>
    </w:p>
    <w:p>
      <w:pPr>
        <w:pStyle w:val="ListParagraph"/>
        <w:numPr>
          <w:ilvl w:val="0"/>
          <w:numId w:val="2"/>
        </w:numPr>
        <w:spacing w:before="60" w:after="60"/>
      </w:pPr>
      <w:r>
        <w:rPr>
          <w:rFonts w:ascii="Arial" w:cs="Arial" w:eastAsia="Arial" w:hAnsi="Arial"/>
          <w:color w:val="1A1A2E"/>
          <w:sz w:val="22"/>
          <w:szCs w:val="22"/>
        </w:rPr>
        <w:t xml:space="preserve">Desarrollador del ecosistema Bitcopper: BITCU, CUPR, x402, y CLPT.</w:t>
      </w:r>
    </w:p>
    <w:p>
      <w:pPr>
        <w:pStyle w:val="ListParagraph"/>
        <w:numPr>
          <w:ilvl w:val="0"/>
          <w:numId w:val="2"/>
        </w:numPr>
        <w:spacing w:before="60" w:after="60"/>
      </w:pPr>
      <w:r>
        <w:rPr>
          <w:rFonts w:ascii="Arial" w:cs="Arial" w:eastAsia="Arial" w:hAnsi="Arial"/>
          <w:color w:val="1A1A2E"/>
          <w:sz w:val="22"/>
          <w:szCs w:val="22"/>
        </w:rPr>
        <w:t xml:space="preserve">Visión: construir la infraestructura financiera soberana de Latinoamérica.</w:t>
      </w:r>
    </w:p>
    <w:p>
      <w:pPr>
        <w:spacing w:before="100" w:after="100"/>
      </w:pPr>
      <w:r>
        <w:rPr>
          <w:rFonts w:ascii="Arial" w:cs="Arial" w:eastAsia="Arial" w:hAnsi="Arial"/>
          <w:color w:val="1A1A2E"/>
          <w:sz w:val="22"/>
          <w:szCs w:val="22"/>
        </w:rPr>
        <w:t xml:space="preserve"/>
      </w:r>
    </w:p>
    <w:p>
      <w:pPr>
        <w:spacing w:before="100" w:after="100"/>
      </w:pPr>
      <w:r>
        <w:rPr>
          <w:rFonts w:ascii="Arial" w:cs="Arial" w:eastAsia="Arial" w:hAnsi="Arial"/>
          <w:i/>
          <w:iCs/>
          <w:color w:val="1A1A2E"/>
          <w:sz w:val="22"/>
          <w:szCs w:val="22"/>
        </w:rPr>
        <w:t xml:space="preserve">Bitcopper Tech SpA opera desde Calama, la ciudad que produce el 10% del cobre del mundo. El proyecto nace desde la misma tierra que alimenta los circuitos del planeta.</w:t>
      </w:r>
    </w:p>
    <w:p>
      <w:r>
        <w:br w:type="page"/>
      </w:r>
    </w:p>
    <w:p>
      <w:pPr>
        <w:pStyle w:val="Heading1"/>
        <w:spacing w:before="480" w:after="200"/>
      </w:pPr>
      <w:r>
        <w:rPr>
          <w:rFonts w:ascii="Arial" w:cs="Arial" w:eastAsia="Arial" w:hAnsi="Arial"/>
          <w:b/>
          <w:bCs/>
          <w:color w:val="B87333"/>
          <w:sz w:val="36"/>
          <w:szCs w:val="36"/>
        </w:rPr>
        <w:t xml:space="preserve">08 — La Oportunidad</w:t>
      </w:r>
    </w:p>
    <w:p>
      <w:pPr>
        <w:spacing w:before="300" w:after="200"/>
        <w:jc w:val="center"/>
      </w:pPr>
      <w:r>
        <w:rPr>
          <w:rFonts w:ascii="Arial" w:cs="Arial" w:eastAsia="Arial" w:hAnsi="Arial"/>
          <w:b/>
          <w:bCs/>
          <w:color w:val="B87333"/>
          <w:sz w:val="56"/>
          <w:szCs w:val="56"/>
        </w:rPr>
        <w:t xml:space="preserve">Buscamos $100M USD</w:t>
      </w:r>
    </w:p>
    <w:p>
      <w:pPr>
        <w:spacing w:before="0" w:after="200"/>
        <w:jc w:val="center"/>
      </w:pPr>
      <w:r>
        <w:rPr>
          <w:rFonts w:ascii="Arial" w:cs="Arial" w:eastAsia="Arial" w:hAnsi="Arial"/>
          <w:i/>
          <w:iCs/>
          <w:color w:val="6B7280"/>
          <w:sz w:val="26"/>
          <w:szCs w:val="26"/>
        </w:rPr>
        <w:t xml:space="preserve">para lanzar la primera stablecoin soberana de Latinoamérica</w:t>
      </w:r>
    </w:p>
    <w:p>
      <w:pPr>
        <w:pBdr>
          <w:bottom w:val="single" w:color="B87333" w:sz="4" w:space="1"/>
        </w:pBdr>
        <w:spacing w:before="200" w:after="200"/>
      </w:pPr>
      <w:r>
        <w:t xml:space="preserve"/>
      </w:r>
    </w:p>
    <w:p>
      <w:pPr>
        <w:pStyle w:val="ListParagraph"/>
        <w:numPr>
          <w:ilvl w:val="0"/>
          <w:numId w:val="2"/>
        </w:numPr>
        <w:spacing w:before="60" w:after="60"/>
      </w:pPr>
      <w:r>
        <w:rPr>
          <w:rFonts w:ascii="Arial" w:cs="Arial" w:eastAsia="Arial" w:hAnsi="Arial"/>
          <w:color w:val="1A1A2E"/>
          <w:sz w:val="22"/>
          <w:szCs w:val="22"/>
        </w:rPr>
        <w:t xml:space="preserve">Equity stake en Bitcopper Technologies LLC (Wyoming)</w:t>
      </w:r>
    </w:p>
    <w:p>
      <w:pPr>
        <w:pStyle w:val="ListParagraph"/>
        <w:numPr>
          <w:ilvl w:val="0"/>
          <w:numId w:val="2"/>
        </w:numPr>
        <w:spacing w:before="60" w:after="60"/>
      </w:pPr>
      <w:r>
        <w:rPr>
          <w:rFonts w:ascii="Arial" w:cs="Arial" w:eastAsia="Arial" w:hAnsi="Arial"/>
          <w:color w:val="1A1A2E"/>
          <w:sz w:val="22"/>
          <w:szCs w:val="22"/>
        </w:rPr>
        <w:t xml:space="preserve">Participación en comisiones de red Bitcopper-Core</w:t>
      </w:r>
    </w:p>
    <w:p>
      <w:pPr>
        <w:pStyle w:val="ListParagraph"/>
        <w:numPr>
          <w:ilvl w:val="0"/>
          <w:numId w:val="2"/>
        </w:numPr>
        <w:spacing w:before="60" w:after="60"/>
      </w:pPr>
      <w:r>
        <w:rPr>
          <w:rFonts w:ascii="Arial" w:cs="Arial" w:eastAsia="Arial" w:hAnsi="Arial"/>
          <w:color w:val="1A1A2E"/>
          <w:sz w:val="22"/>
          <w:szCs w:val="22"/>
        </w:rPr>
        <w:t xml:space="preserve">Tokens CUPR de la reserva soberana como garantía adicional</w:t>
      </w:r>
    </w:p>
    <w:p>
      <w:pPr>
        <w:pStyle w:val="ListParagraph"/>
        <w:numPr>
          <w:ilvl w:val="0"/>
          <w:numId w:val="2"/>
        </w:numPr>
        <w:spacing w:before="60" w:after="60"/>
      </w:pPr>
      <w:r>
        <w:rPr>
          <w:rFonts w:ascii="Arial" w:cs="Arial" w:eastAsia="Arial" w:hAnsi="Arial"/>
          <w:color w:val="1A1A2E"/>
          <w:sz w:val="22"/>
          <w:szCs w:val="22"/>
        </w:rPr>
        <w:t xml:space="preserve">Posición fundadora en la expansión ARST, BRLT, MXNT</w:t>
      </w:r>
    </w:p>
    <w:p>
      <w:pPr>
        <w:spacing w:before="100" w:after="100"/>
      </w:pPr>
      <w:r>
        <w:rPr>
          <w:rFonts w:ascii="Arial" w:cs="Arial" w:eastAsia="Arial" w:hAnsi="Arial"/>
          <w:color w:val="1A1A2E"/>
          <w:sz w:val="22"/>
          <w:szCs w:val="22"/>
        </w:rPr>
        <w:t xml:space="preserve"/>
      </w:r>
    </w:p>
    <w:p>
      <w:pPr>
        <w:spacing w:before="300" w:after="100"/>
        <w:jc w:val="center"/>
      </w:pPr>
      <w:r>
        <w:rPr>
          <w:rFonts w:ascii="Arial" w:cs="Arial" w:eastAsia="Arial" w:hAnsi="Arial"/>
          <w:b/>
          <w:bCs/>
          <w:color w:val="1D4ED8"/>
          <w:sz w:val="28"/>
          <w:szCs w:val="28"/>
        </w:rPr>
        <w:t xml:space="preserve">pedro@bitcoppertech.cl</w:t>
      </w:r>
    </w:p>
    <w:p>
      <w:pPr>
        <w:jc w:val="center"/>
      </w:pPr>
      <w:r>
        <w:rPr>
          <w:rFonts w:ascii="Arial" w:cs="Arial" w:eastAsia="Arial" w:hAnsi="Arial"/>
          <w:color w:val="0D1A2A"/>
          <w:sz w:val="24"/>
          <w:szCs w:val="24"/>
        </w:rPr>
        <w:t xml:space="preserve">bitcoppertech.cl  ·  Calama, Chile</w:t>
      </w:r>
    </w:p>
    <w:p>
      <w:pPr>
        <w:spacing w:before="200"/>
        <w:jc w:val="center"/>
      </w:pPr>
      <w:r>
        <w:rPr>
          <w:rFonts w:ascii="Arial" w:cs="Arial" w:eastAsia="Arial" w:hAnsi="Arial"/>
          <w:i/>
          <w:iCs/>
          <w:color w:val="B87333"/>
          <w:sz w:val="22"/>
          <w:szCs w:val="22"/>
        </w:rPr>
        <w:t xml:space="preserve">In cuprum veritas.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2026-03-06T20:29:27.694Z</dcterms:created>
  <dcterms:modified xsi:type="dcterms:W3CDTF">2026-03-06T20:29:27.695Z</dcterms:modified>
</cp:coreProperties>
</file>

<file path=docProps/custom.xml><?xml version="1.0" encoding="utf-8"?>
<Properties xmlns="http://schemas.openxmlformats.org/officeDocument/2006/custom-properties" xmlns:vt="http://schemas.openxmlformats.org/officeDocument/2006/docPropsVTypes"/>
</file>