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B87333"/>
          <w:sz w:val="96"/>
          <w:szCs w:val="96"/>
        </w:rPr>
        <w:t xml:space="preserve">CLPT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0D1A2A"/>
          <w:sz w:val="40"/>
          <w:szCs w:val="40"/>
        </w:rPr>
        <w:t xml:space="preserve">Chilean Peso Token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C8903A"/>
          <w:sz w:val="24"/>
          <w:szCs w:val="24"/>
        </w:rPr>
        <w:t xml:space="preserve">WHITEPAPER v1.0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6B7280"/>
          <w:sz w:val="26"/>
          <w:szCs w:val="26"/>
        </w:rPr>
        <w:t xml:space="preserve">La Primera Stablecoin Soberana de Latinoamérica</w:t>
      </w:r>
    </w:p>
    <w:p>
      <w:pPr>
        <w:pBdr>
          <w:bottom w:val="single" w:color="B87333" w:sz="4" w:space="1"/>
        </w:pBdr>
        <w:spacing w:before="200" w:after="200"/>
      </w:pPr>
      <w:r>
        <w:t xml:space="preserve"/>
      </w:r>
    </w:p>
    <w:p>
      <w:pPr>
        <w:spacing w:before="200" w:after="80"/>
        <w:jc w:val="center"/>
      </w:pPr>
      <w:r>
        <w:rPr>
          <w:rFonts w:ascii="Arial" w:cs="Arial" w:eastAsia="Arial" w:hAnsi="Arial"/>
          <w:color w:val="0D1A2A"/>
          <w:sz w:val="22"/>
          <w:szCs w:val="22"/>
        </w:rPr>
        <w:t xml:space="preserve">Bitcopper Technologies LLC  ·  Wyoming, USA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0D1A2A"/>
          <w:sz w:val="22"/>
          <w:szCs w:val="22"/>
        </w:rPr>
        <w:t xml:space="preserve">Bitcopper Tech SpA  ·  Calama, Chile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Marzo 2026  ·  Versión 1.0</w:t>
      </w:r>
    </w:p>
    <w:p>
      <w:pPr>
        <w:spacing w:before="200" w:after="0"/>
        <w:jc w:val="center"/>
      </w:pPr>
      <w:r>
        <w:rPr>
          <w:rFonts w:ascii="Arial" w:cs="Arial" w:eastAsia="Arial" w:hAnsi="Arial"/>
          <w:b/>
          <w:bCs/>
          <w:color w:val="0D1A2A"/>
          <w:sz w:val="22"/>
          <w:szCs w:val="22"/>
        </w:rPr>
        <w:t xml:space="preserve">Pedro Ramos Morales  ·  Fundador &amp; CEO</w:t>
      </w:r>
    </w:p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B87333"/>
          <w:sz w:val="36"/>
          <w:szCs w:val="36"/>
        </w:rPr>
        <w:t xml:space="preserve">1. Resumen Ejecutivo</w:t>
      </w:r>
    </w:p>
    <w:p>
      <w:pPr>
        <w:spacing w:before="10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CLPT (Chilean Peso Token) es la primera stablecoin soberana de Latinoamérica, diseñada con paridad 1:1 al peso chileno real (CLP). Emitida por Bitcopper Technologies LLC (Wyoming) y operada por Bitcopper Tech SpA (Chile), CLPT ofrece a los 650 millones de latinoamericanos acceso a dinero digital estable sin depender de un banco central extranjero.</w:t>
      </w:r>
    </w:p>
    <w:p>
      <w:pPr>
        <w:spacing w:before="10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diferencia del CBDC del Banco Central de Chile — que no es soberano para el ciudadano —, CLPT es auditada, descentralizable y respaldada por reserva real verificable. Es el primer eslabón de una red de stablecoins latinoamericanas que en Fase 3 incluirá ARST (Argentina), BRLT (Brasil), MXNT (México), COPT (Colombia) y PERT (Perú).</w:t>
      </w:r>
    </w:p>
    <w:p>
      <w:pPr>
        <w:spacing w:before="10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CLPT opera sobre Polygon (ERC-20) para el mercado retail y sobre Bitcopper-Core como capa de liquidación institucional B2B, formando un modelo híbrido que maximiza adopción y soberanía operacional.</w:t>
      </w:r>
    </w:p>
    <w:p>
      <w:pPr>
        <w:pBdr>
          <w:bottom w:val="single" w:color="B87333" w:sz="4" w:space="1"/>
        </w:pBdr>
        <w:spacing w:before="200" w:after="200"/>
      </w:pPr>
      <w:r>
        <w:t xml:space="preserv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B87333"/>
          <w:sz w:val="36"/>
          <w:szCs w:val="36"/>
        </w:rPr>
        <w:t xml:space="preserve">2. El Problema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D1A2A"/>
          <w:sz w:val="28"/>
          <w:szCs w:val="28"/>
        </w:rPr>
        <w:t xml:space="preserve">2.1 La Exclusión Financiera en Latinoamérica</w:t>
      </w:r>
    </w:p>
    <w:p>
      <w:pPr>
        <w:spacing w:before="10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Latinoamérica enfrenta tres problemas simultáneos que ningún sistema financiero tradicional ha resuelto: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El 70% de la población no tiene acceso bancario pleno o no confía en el sistema bancario.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Las remesas internacionales cuestan entre 5% y 12% de comisión, robando $40B anuales a las familias más vulnerables.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 inflación crónica en Argentina, Venezuela, y otros países destruye el ahorro de generaciones.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Los CBDCs de los bancos centrales son controlados por el estado — pueden congelar, rastrear y censurar transacciones.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D1A2A"/>
          <w:sz w:val="28"/>
          <w:szCs w:val="28"/>
        </w:rPr>
        <w:t xml:space="preserve">2.2 El Vacío del Mercado</w:t>
      </w:r>
    </w:p>
    <w:p>
      <w:pPr>
        <w:spacing w:before="10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USDT y USDC son stablecoins en USD — útiles globalmente, pero no reflejan la realidad económica chilena ni latinoamericana. Un trabajador en Chile recibe, paga y ahorra en CLP. No existe hoy ninguna stablecoin que le permita operar en su propia moneda con la seguridad de blockchain.</w:t>
      </w:r>
    </w:p>
    <w:p>
      <w:pPr>
        <w:spacing w:before="10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El CBDC del Banco Central de Chile (en desarrollo) resolverá parte del problema, pero será una moneda de vigilancia estatal — cada transacción rastreable y censorable por el gobierno. CLPT propone la alternativa soberana.</w:t>
      </w:r>
    </w:p>
    <w:p>
      <w:pPr>
        <w:pBdr>
          <w:bottom w:val="single" w:color="B87333" w:sz="4" w:space="1"/>
        </w:pBdr>
        <w:spacing w:before="200" w:after="200"/>
      </w:pPr>
      <w:r>
        <w:t xml:space="preserv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B87333"/>
          <w:sz w:val="36"/>
          <w:szCs w:val="36"/>
        </w:rPr>
        <w:t xml:space="preserve">3. La Solución: CLPT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D1A2A"/>
          <w:sz w:val="28"/>
          <w:szCs w:val="28"/>
        </w:rPr>
        <w:t xml:space="preserve">3.1 Concepto Central</w:t>
      </w:r>
    </w:p>
    <w:p>
      <w:pPr>
        <w:spacing w:before="10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CLPT es un token ERC-20 en la red Polygon con paridad 1:1 al peso chileno. Por cada CLPT emitido existe exactamente $1 CLP en reserva auditada. La reserva es pública, verificable en tiempo real, y custodiada por entidades reguladas.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D1A2A"/>
          <w:sz w:val="28"/>
          <w:szCs w:val="28"/>
        </w:rPr>
        <w:t xml:space="preserve">3.2 Características Técnicas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4A843" w:sz="1"/>
              <w:left w:val="single" w:color="D4A843" w:sz="1"/>
              <w:bottom w:val="single" w:color="D4A843" w:sz="1"/>
              <w:right w:val="single" w:color="D4A843" w:sz="1"/>
            </w:tcBorders>
            <w:shd w:fill="F5F0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1A2A"/>
                <w:sz w:val="20"/>
                <w:szCs w:val="20"/>
              </w:rPr>
              <w:t xml:space="preserve">Nombre</w:t>
            </w:r>
          </w:p>
        </w:tc>
        <w:tc>
          <w:tcPr>
            <w:tcW w:type="dxa" w:w="5760"/>
            <w:tcBorders>
              <w:top w:val="single" w:color="D4A843" w:sz="1"/>
              <w:left w:val="single" w:color="D4A843" w:sz="1"/>
              <w:bottom w:val="single" w:color="D4A843" w:sz="1"/>
              <w:right w:val="single" w:color="D4A843" w:sz="1"/>
            </w:tcBorders>
            <w:shd w:fill="F5F0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D1A2A"/>
                <w:sz w:val="20"/>
                <w:szCs w:val="20"/>
              </w:rPr>
              <w:t xml:space="preserve">Chilean Peso Token</w:t>
            </w:r>
          </w:p>
        </w:tc>
      </w:tr>
      <w:tr>
        <w:tc>
          <w:tcPr>
            <w:tcW w:type="dxa" w:w="3600"/>
            <w:tcBorders>
              <w:top w:val="single" w:color="D4A843" w:sz="1"/>
              <w:left w:val="single" w:color="D4A843" w:sz="1"/>
              <w:bottom w:val="single" w:color="D4A843" w:sz="1"/>
              <w:right w:val="single" w:color="D4A843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1A2A"/>
                <w:sz w:val="20"/>
                <w:szCs w:val="20"/>
              </w:rPr>
              <w:t xml:space="preserve">Símbolo</w:t>
            </w:r>
          </w:p>
        </w:tc>
        <w:tc>
          <w:tcPr>
            <w:tcW w:type="dxa" w:w="5760"/>
            <w:tcBorders>
              <w:top w:val="single" w:color="D4A843" w:sz="1"/>
              <w:left w:val="single" w:color="D4A843" w:sz="1"/>
              <w:bottom w:val="single" w:color="D4A843" w:sz="1"/>
              <w:right w:val="single" w:color="D4A843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D1A2A"/>
                <w:sz w:val="20"/>
                <w:szCs w:val="20"/>
              </w:rPr>
              <w:t xml:space="preserve">CLPT</w:t>
            </w:r>
          </w:p>
        </w:tc>
      </w:tr>
      <w:tr>
        <w:tc>
          <w:tcPr>
            <w:tcW w:type="dxa" w:w="3600"/>
            <w:tcBorders>
              <w:top w:val="single" w:color="D4A843" w:sz="1"/>
              <w:left w:val="single" w:color="D4A843" w:sz="1"/>
              <w:bottom w:val="single" w:color="D4A843" w:sz="1"/>
              <w:right w:val="single" w:color="D4A843" w:sz="1"/>
            </w:tcBorders>
            <w:shd w:fill="F5F0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1A2A"/>
                <w:sz w:val="20"/>
                <w:szCs w:val="20"/>
              </w:rPr>
              <w:t xml:space="preserve">Estándar</w:t>
            </w:r>
          </w:p>
        </w:tc>
        <w:tc>
          <w:tcPr>
            <w:tcW w:type="dxa" w:w="5760"/>
            <w:tcBorders>
              <w:top w:val="single" w:color="D4A843" w:sz="1"/>
              <w:left w:val="single" w:color="D4A843" w:sz="1"/>
              <w:bottom w:val="single" w:color="D4A843" w:sz="1"/>
              <w:right w:val="single" w:color="D4A843" w:sz="1"/>
            </w:tcBorders>
            <w:shd w:fill="F5F0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D1A2A"/>
                <w:sz w:val="20"/>
                <w:szCs w:val="20"/>
              </w:rPr>
              <w:t xml:space="preserve">ERC-20</w:t>
            </w:r>
          </w:p>
        </w:tc>
      </w:tr>
      <w:tr>
        <w:tc>
          <w:tcPr>
            <w:tcW w:type="dxa" w:w="3600"/>
            <w:tcBorders>
              <w:top w:val="single" w:color="D4A843" w:sz="1"/>
              <w:left w:val="single" w:color="D4A843" w:sz="1"/>
              <w:bottom w:val="single" w:color="D4A843" w:sz="1"/>
              <w:right w:val="single" w:color="D4A843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1A2A"/>
                <w:sz w:val="20"/>
                <w:szCs w:val="20"/>
              </w:rPr>
              <w:t xml:space="preserve">Red primaria</w:t>
            </w:r>
          </w:p>
        </w:tc>
        <w:tc>
          <w:tcPr>
            <w:tcW w:type="dxa" w:w="5760"/>
            <w:tcBorders>
              <w:top w:val="single" w:color="D4A843" w:sz="1"/>
              <w:left w:val="single" w:color="D4A843" w:sz="1"/>
              <w:bottom w:val="single" w:color="D4A843" w:sz="1"/>
              <w:right w:val="single" w:color="D4A843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D1A2A"/>
                <w:sz w:val="20"/>
                <w:szCs w:val="20"/>
              </w:rPr>
              <w:t xml:space="preserve">Polygon Mainnet</w:t>
            </w:r>
          </w:p>
        </w:tc>
      </w:tr>
      <w:tr>
        <w:tc>
          <w:tcPr>
            <w:tcW w:type="dxa" w:w="3600"/>
            <w:tcBorders>
              <w:top w:val="single" w:color="D4A843" w:sz="1"/>
              <w:left w:val="single" w:color="D4A843" w:sz="1"/>
              <w:bottom w:val="single" w:color="D4A843" w:sz="1"/>
              <w:right w:val="single" w:color="D4A843" w:sz="1"/>
            </w:tcBorders>
            <w:shd w:fill="F5F0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1A2A"/>
                <w:sz w:val="20"/>
                <w:szCs w:val="20"/>
              </w:rPr>
              <w:t xml:space="preserve">Red secundaria</w:t>
            </w:r>
          </w:p>
        </w:tc>
        <w:tc>
          <w:tcPr>
            <w:tcW w:type="dxa" w:w="5760"/>
            <w:tcBorders>
              <w:top w:val="single" w:color="D4A843" w:sz="1"/>
              <w:left w:val="single" w:color="D4A843" w:sz="1"/>
              <w:bottom w:val="single" w:color="D4A843" w:sz="1"/>
              <w:right w:val="single" w:color="D4A843" w:sz="1"/>
            </w:tcBorders>
            <w:shd w:fill="F5F0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D1A2A"/>
                <w:sz w:val="20"/>
                <w:szCs w:val="20"/>
              </w:rPr>
              <w:t xml:space="preserve">Bitcopper-Core (B2B)</w:t>
            </w:r>
          </w:p>
        </w:tc>
      </w:tr>
      <w:tr>
        <w:tc>
          <w:tcPr>
            <w:tcW w:type="dxa" w:w="3600"/>
            <w:tcBorders>
              <w:top w:val="single" w:color="D4A843" w:sz="1"/>
              <w:left w:val="single" w:color="D4A843" w:sz="1"/>
              <w:bottom w:val="single" w:color="D4A843" w:sz="1"/>
              <w:right w:val="single" w:color="D4A843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1A2A"/>
                <w:sz w:val="20"/>
                <w:szCs w:val="20"/>
              </w:rPr>
              <w:t xml:space="preserve">Paridad</w:t>
            </w:r>
          </w:p>
        </w:tc>
        <w:tc>
          <w:tcPr>
            <w:tcW w:type="dxa" w:w="5760"/>
            <w:tcBorders>
              <w:top w:val="single" w:color="D4A843" w:sz="1"/>
              <w:left w:val="single" w:color="D4A843" w:sz="1"/>
              <w:bottom w:val="single" w:color="D4A843" w:sz="1"/>
              <w:right w:val="single" w:color="D4A843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D1A2A"/>
                <w:sz w:val="20"/>
                <w:szCs w:val="20"/>
              </w:rPr>
              <w:t xml:space="preserve">1 CLPT = $1 CLP exacto</w:t>
            </w:r>
          </w:p>
        </w:tc>
      </w:tr>
      <w:tr>
        <w:tc>
          <w:tcPr>
            <w:tcW w:type="dxa" w:w="3600"/>
            <w:tcBorders>
              <w:top w:val="single" w:color="D4A843" w:sz="1"/>
              <w:left w:val="single" w:color="D4A843" w:sz="1"/>
              <w:bottom w:val="single" w:color="D4A843" w:sz="1"/>
              <w:right w:val="single" w:color="D4A843" w:sz="1"/>
            </w:tcBorders>
            <w:shd w:fill="F5F0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1A2A"/>
                <w:sz w:val="20"/>
                <w:szCs w:val="20"/>
              </w:rPr>
              <w:t xml:space="preserve">Decimales</w:t>
            </w:r>
          </w:p>
        </w:tc>
        <w:tc>
          <w:tcPr>
            <w:tcW w:type="dxa" w:w="5760"/>
            <w:tcBorders>
              <w:top w:val="single" w:color="D4A843" w:sz="1"/>
              <w:left w:val="single" w:color="D4A843" w:sz="1"/>
              <w:bottom w:val="single" w:color="D4A843" w:sz="1"/>
              <w:right w:val="single" w:color="D4A843" w:sz="1"/>
            </w:tcBorders>
            <w:shd w:fill="F5F0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D1A2A"/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dxa" w:w="3600"/>
            <w:tcBorders>
              <w:top w:val="single" w:color="D4A843" w:sz="1"/>
              <w:left w:val="single" w:color="D4A843" w:sz="1"/>
              <w:bottom w:val="single" w:color="D4A843" w:sz="1"/>
              <w:right w:val="single" w:color="D4A843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1A2A"/>
                <w:sz w:val="20"/>
                <w:szCs w:val="20"/>
              </w:rPr>
              <w:t xml:space="preserve">Reserva</w:t>
            </w:r>
          </w:p>
        </w:tc>
        <w:tc>
          <w:tcPr>
            <w:tcW w:type="dxa" w:w="5760"/>
            <w:tcBorders>
              <w:top w:val="single" w:color="D4A843" w:sz="1"/>
              <w:left w:val="single" w:color="D4A843" w:sz="1"/>
              <w:bottom w:val="single" w:color="D4A843" w:sz="1"/>
              <w:right w:val="single" w:color="D4A843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D1A2A"/>
                <w:sz w:val="20"/>
                <w:szCs w:val="20"/>
              </w:rPr>
              <w:t xml:space="preserve">100% CLP en entidades reguladas</w:t>
            </w:r>
          </w:p>
        </w:tc>
      </w:tr>
      <w:tr>
        <w:tc>
          <w:tcPr>
            <w:tcW w:type="dxa" w:w="3600"/>
            <w:tcBorders>
              <w:top w:val="single" w:color="D4A843" w:sz="1"/>
              <w:left w:val="single" w:color="D4A843" w:sz="1"/>
              <w:bottom w:val="single" w:color="D4A843" w:sz="1"/>
              <w:right w:val="single" w:color="D4A843" w:sz="1"/>
            </w:tcBorders>
            <w:shd w:fill="F5F0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1A2A"/>
                <w:sz w:val="20"/>
                <w:szCs w:val="20"/>
              </w:rPr>
              <w:t xml:space="preserve">Auditoría</w:t>
            </w:r>
          </w:p>
        </w:tc>
        <w:tc>
          <w:tcPr>
            <w:tcW w:type="dxa" w:w="5760"/>
            <w:tcBorders>
              <w:top w:val="single" w:color="D4A843" w:sz="1"/>
              <w:left w:val="single" w:color="D4A843" w:sz="1"/>
              <w:bottom w:val="single" w:color="D4A843" w:sz="1"/>
              <w:right w:val="single" w:color="D4A843" w:sz="1"/>
            </w:tcBorders>
            <w:shd w:fill="F5F0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D1A2A"/>
                <w:sz w:val="20"/>
                <w:szCs w:val="20"/>
              </w:rPr>
              <w:t xml:space="preserve">Trimestral por firma certificada</w:t>
            </w:r>
          </w:p>
        </w:tc>
      </w:tr>
      <w:tr>
        <w:tc>
          <w:tcPr>
            <w:tcW w:type="dxa" w:w="3600"/>
            <w:tcBorders>
              <w:top w:val="single" w:color="D4A843" w:sz="1"/>
              <w:left w:val="single" w:color="D4A843" w:sz="1"/>
              <w:bottom w:val="single" w:color="D4A843" w:sz="1"/>
              <w:right w:val="single" w:color="D4A843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1A2A"/>
                <w:sz w:val="20"/>
                <w:szCs w:val="20"/>
              </w:rPr>
              <w:t xml:space="preserve">Emisión</w:t>
            </w:r>
          </w:p>
        </w:tc>
        <w:tc>
          <w:tcPr>
            <w:tcW w:type="dxa" w:w="5760"/>
            <w:tcBorders>
              <w:top w:val="single" w:color="D4A843" w:sz="1"/>
              <w:left w:val="single" w:color="D4A843" w:sz="1"/>
              <w:bottom w:val="single" w:color="D4A843" w:sz="1"/>
              <w:right w:val="single" w:color="D4A843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D1A2A"/>
                <w:sz w:val="20"/>
                <w:szCs w:val="20"/>
              </w:rPr>
              <w:t xml:space="preserve">Solo con depósito previo verificado</w:t>
            </w:r>
          </w:p>
        </w:tc>
      </w:tr>
      <w:tr>
        <w:tc>
          <w:tcPr>
            <w:tcW w:type="dxa" w:w="3600"/>
            <w:tcBorders>
              <w:top w:val="single" w:color="D4A843" w:sz="1"/>
              <w:left w:val="single" w:color="D4A843" w:sz="1"/>
              <w:bottom w:val="single" w:color="D4A843" w:sz="1"/>
              <w:right w:val="single" w:color="D4A843" w:sz="1"/>
            </w:tcBorders>
            <w:shd w:fill="F5F0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1A2A"/>
                <w:sz w:val="20"/>
                <w:szCs w:val="20"/>
              </w:rPr>
              <w:t xml:space="preserve">Quema</w:t>
            </w:r>
          </w:p>
        </w:tc>
        <w:tc>
          <w:tcPr>
            <w:tcW w:type="dxa" w:w="5760"/>
            <w:tcBorders>
              <w:top w:val="single" w:color="D4A843" w:sz="1"/>
              <w:left w:val="single" w:color="D4A843" w:sz="1"/>
              <w:bottom w:val="single" w:color="D4A843" w:sz="1"/>
              <w:right w:val="single" w:color="D4A843" w:sz="1"/>
            </w:tcBorders>
            <w:shd w:fill="F5F0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D1A2A"/>
                <w:sz w:val="20"/>
                <w:szCs w:val="20"/>
              </w:rPr>
              <w:t xml:space="preserve">Al momento del retiro 1:1</w:t>
            </w:r>
          </w:p>
        </w:tc>
      </w:tr>
    </w:tbl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D1A2A"/>
          <w:sz w:val="28"/>
          <w:szCs w:val="28"/>
        </w:rPr>
        <w:t xml:space="preserve">3.3 Mecanismo de Paridad</w:t>
      </w:r>
    </w:p>
    <w:p>
      <w:pPr>
        <w:spacing w:before="10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El mecanismo de paridad es simple e inviolable: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Usuario deposita $1.000 CLP en cuenta custodia → sistema emite 1.000 CLPT automáticamente.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Usuario envía 1.000 CLPT al contrato de quema → sistema libera $1.000 CLP a su cuenta bancaria.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El contrato inteligente en Polygon verifica el balance de reserva antes de cada emisión.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Auditoría trimestral pública confirma que tokens circulantes = CLP en reserva.</w:t>
      </w:r>
    </w:p>
    <w:p>
      <w:pPr>
        <w:pBdr>
          <w:bottom w:val="single" w:color="B87333" w:sz="4" w:space="1"/>
        </w:pBdr>
        <w:spacing w:before="200" w:after="200"/>
      </w:pPr>
      <w:r>
        <w:t xml:space="preserv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B87333"/>
          <w:sz w:val="36"/>
          <w:szCs w:val="36"/>
        </w:rPr>
        <w:t xml:space="preserve">4. Arquitectura del Sistema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D1A2A"/>
          <w:sz w:val="28"/>
          <w:szCs w:val="28"/>
        </w:rPr>
        <w:t xml:space="preserve">4.1 Modelo Híbrido: Polygon + Bitcopper-Core</w:t>
      </w:r>
    </w:p>
    <w:p>
      <w:pPr>
        <w:spacing w:before="10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CLPT opera en dos capas complementarias: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C8903A"/>
          <w:sz w:val="24"/>
          <w:szCs w:val="24"/>
        </w:rPr>
        <w:t xml:space="preserve">Capa 1 — Polygon (Retail)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Transacciones de usuarios individuales, remesas, pagos cotidianos.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Compatible con MetaMask, Trust Wallet, cualquier wallet ERC-20.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Costos: fracciones de peso por transacción (~$0.001 USD).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Tiempo de confirmación: ~2 segundos.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Integración directa con exchanges chilenos y DeFi global.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C8903A"/>
          <w:sz w:val="24"/>
          <w:szCs w:val="24"/>
        </w:rPr>
        <w:t xml:space="preserve">Capa 2 — Bitcopper-Core (Institucional)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Liquidación B2B entre empresas, movimientos de reserva, operaciones regulatorias.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Red permisionada: solo validadores autorizados por Bitcopper Tech SpA.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Cumplimiento CMF/UAF: capacidad de congelar fondos o revertir en caso de orden judicial.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Consenso Proof of Authority (PoA): validadores conocidos, auditables, regulados.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Comisiones de red pagadas en CLPT: ingresos directos para Bitcopper Tech SpA.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D1A2A"/>
          <w:sz w:val="28"/>
          <w:szCs w:val="28"/>
        </w:rPr>
        <w:t xml:space="preserve">4.2 Integración con el Ecosistema Bitcopper</w:t>
      </w:r>
    </w:p>
    <w:p>
      <w:pPr>
        <w:spacing w:before="10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CLPT se integra naturalmente con BITCU y CUPR: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BITCU → minado con calor físico, moneda base del ecosistema.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CUPR → reserva soberana en Polygon, respaldada por BITCU.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CLPT → stablecoin CLP, puerta de entrada para el usuario chileno.</w:t>
      </w:r>
    </w:p>
    <w:p>
      <w:pPr>
        <w:spacing w:before="10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El protocolo x402 permite que agentes de IA paguen en CLPT por servicios computacionales en Chile, creando el primer mercado de micropagos en pesos digitales soberanos.</w:t>
      </w:r>
    </w:p>
    <w:p>
      <w:pPr>
        <w:pBdr>
          <w:bottom w:val="single" w:color="B87333" w:sz="4" w:space="1"/>
        </w:pBdr>
        <w:spacing w:before="200" w:after="200"/>
      </w:pPr>
      <w:r>
        <w:t xml:space="preserv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B87333"/>
          <w:sz w:val="36"/>
          <w:szCs w:val="36"/>
        </w:rPr>
        <w:t xml:space="preserve">5. Estructura de Reserva — $100M CLP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D1A2A"/>
          <w:sz w:val="28"/>
          <w:szCs w:val="28"/>
        </w:rPr>
        <w:t xml:space="preserve">5.1 Modelo de Reserva Fraccionada Progresiva</w:t>
      </w:r>
    </w:p>
    <w:p>
      <w:pPr>
        <w:spacing w:before="10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El objetivo de largo plazo es una reserva 1:1 completa. La hoja de ruta progresiva permite lanzar con reserva parcial auditada mientras se crece hacia la cobertura total: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c>
          <w:tcPr>
            <w:tcW w:type="dxa" w:w="2400"/>
            <w:tcBorders>
              <w:top w:val="single" w:color="D4A843" w:sz="1"/>
              <w:left w:val="single" w:color="D4A843" w:sz="1"/>
              <w:bottom w:val="single" w:color="D4A843" w:sz="1"/>
              <w:right w:val="single" w:color="D4A843" w:sz="1"/>
            </w:tcBorders>
            <w:shd w:fill="B8733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400"/>
            <w:tcBorders>
              <w:top w:val="single" w:color="D4A843" w:sz="1"/>
              <w:left w:val="single" w:color="D4A843" w:sz="1"/>
              <w:bottom w:val="single" w:color="D4A843" w:sz="1"/>
              <w:right w:val="single" w:color="D4A843" w:sz="1"/>
            </w:tcBorders>
            <w:shd w:fill="B8733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RESERVA</w:t>
            </w:r>
          </w:p>
        </w:tc>
        <w:tc>
          <w:tcPr>
            <w:tcW w:type="dxa" w:w="2400"/>
            <w:tcBorders>
              <w:top w:val="single" w:color="D4A843" w:sz="1"/>
              <w:left w:val="single" w:color="D4A843" w:sz="1"/>
              <w:bottom w:val="single" w:color="D4A843" w:sz="1"/>
              <w:right w:val="single" w:color="D4A843" w:sz="1"/>
            </w:tcBorders>
            <w:shd w:fill="B8733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CLPT MÁXIMO</w:t>
            </w:r>
          </w:p>
        </w:tc>
        <w:tc>
          <w:tcPr>
            <w:tcW w:type="dxa" w:w="2160"/>
            <w:tcBorders>
              <w:top w:val="single" w:color="D4A843" w:sz="1"/>
              <w:left w:val="single" w:color="D4A843" w:sz="1"/>
              <w:bottom w:val="single" w:color="D4A843" w:sz="1"/>
              <w:right w:val="single" w:color="D4A843" w:sz="1"/>
            </w:tcBorders>
            <w:shd w:fill="B8733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PLAZO</w:t>
            </w:r>
          </w:p>
        </w:tc>
      </w:tr>
      <w:tr>
        <w:tc>
          <w:tcPr>
            <w:tcW w:type="dxa" w:w="2400"/>
            <w:tcBorders>
              <w:top w:val="single" w:color="D4A843" w:sz="1"/>
              <w:left w:val="single" w:color="D4A843" w:sz="1"/>
              <w:bottom w:val="single" w:color="D4A843" w:sz="1"/>
              <w:right w:val="single" w:color="D4A843" w:sz="1"/>
            </w:tcBorders>
            <w:shd w:fill="F5F0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D1A2A"/>
                <w:sz w:val="20"/>
                <w:szCs w:val="20"/>
              </w:rPr>
              <w:t xml:space="preserve">Fase 1 — Seed</w:t>
            </w:r>
          </w:p>
        </w:tc>
        <w:tc>
          <w:tcPr>
            <w:tcW w:type="dxa" w:w="2400"/>
            <w:tcBorders>
              <w:top w:val="single" w:color="D4A843" w:sz="1"/>
              <w:left w:val="single" w:color="D4A843" w:sz="1"/>
              <w:bottom w:val="single" w:color="D4A843" w:sz="1"/>
              <w:right w:val="single" w:color="D4A843" w:sz="1"/>
            </w:tcBorders>
            <w:shd w:fill="F5F0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D1A2A"/>
                <w:sz w:val="20"/>
                <w:szCs w:val="20"/>
              </w:rPr>
              <w:t xml:space="preserve">$1M USD</w:t>
            </w:r>
          </w:p>
        </w:tc>
        <w:tc>
          <w:tcPr>
            <w:tcW w:type="dxa" w:w="2400"/>
            <w:tcBorders>
              <w:top w:val="single" w:color="D4A843" w:sz="1"/>
              <w:left w:val="single" w:color="D4A843" w:sz="1"/>
              <w:bottom w:val="single" w:color="D4A843" w:sz="1"/>
              <w:right w:val="single" w:color="D4A843" w:sz="1"/>
            </w:tcBorders>
            <w:shd w:fill="F5F0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D1A2A"/>
                <w:sz w:val="20"/>
                <w:szCs w:val="20"/>
              </w:rPr>
              <w:t xml:space="preserve">~1B CLPT</w:t>
            </w:r>
          </w:p>
        </w:tc>
        <w:tc>
          <w:tcPr>
            <w:tcW w:type="dxa" w:w="2160"/>
            <w:tcBorders>
              <w:top w:val="single" w:color="D4A843" w:sz="1"/>
              <w:left w:val="single" w:color="D4A843" w:sz="1"/>
              <w:bottom w:val="single" w:color="D4A843" w:sz="1"/>
              <w:right w:val="single" w:color="D4A843" w:sz="1"/>
            </w:tcBorders>
            <w:shd w:fill="F5F0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D1A2A"/>
                <w:sz w:val="20"/>
                <w:szCs w:val="20"/>
              </w:rPr>
              <w:t xml:space="preserve">2026 Q2</w:t>
            </w:r>
          </w:p>
        </w:tc>
      </w:tr>
      <w:tr>
        <w:tc>
          <w:tcPr>
            <w:tcW w:type="dxa" w:w="2400"/>
            <w:tcBorders>
              <w:top w:val="single" w:color="D4A843" w:sz="1"/>
              <w:left w:val="single" w:color="D4A843" w:sz="1"/>
              <w:bottom w:val="single" w:color="D4A843" w:sz="1"/>
              <w:right w:val="single" w:color="D4A843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D1A2A"/>
                <w:sz w:val="20"/>
                <w:szCs w:val="20"/>
              </w:rPr>
              <w:t xml:space="preserve">Fase 2 — Serie A</w:t>
            </w:r>
          </w:p>
        </w:tc>
        <w:tc>
          <w:tcPr>
            <w:tcW w:type="dxa" w:w="2400"/>
            <w:tcBorders>
              <w:top w:val="single" w:color="D4A843" w:sz="1"/>
              <w:left w:val="single" w:color="D4A843" w:sz="1"/>
              <w:bottom w:val="single" w:color="D4A843" w:sz="1"/>
              <w:right w:val="single" w:color="D4A843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D1A2A"/>
                <w:sz w:val="20"/>
                <w:szCs w:val="20"/>
              </w:rPr>
              <w:t xml:space="preserve">$10M USD</w:t>
            </w:r>
          </w:p>
        </w:tc>
        <w:tc>
          <w:tcPr>
            <w:tcW w:type="dxa" w:w="2400"/>
            <w:tcBorders>
              <w:top w:val="single" w:color="D4A843" w:sz="1"/>
              <w:left w:val="single" w:color="D4A843" w:sz="1"/>
              <w:bottom w:val="single" w:color="D4A843" w:sz="1"/>
              <w:right w:val="single" w:color="D4A843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D1A2A"/>
                <w:sz w:val="20"/>
                <w:szCs w:val="20"/>
              </w:rPr>
              <w:t xml:space="preserve">~10B CLPT</w:t>
            </w:r>
          </w:p>
        </w:tc>
        <w:tc>
          <w:tcPr>
            <w:tcW w:type="dxa" w:w="2160"/>
            <w:tcBorders>
              <w:top w:val="single" w:color="D4A843" w:sz="1"/>
              <w:left w:val="single" w:color="D4A843" w:sz="1"/>
              <w:bottom w:val="single" w:color="D4A843" w:sz="1"/>
              <w:right w:val="single" w:color="D4A843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D1A2A"/>
                <w:sz w:val="20"/>
                <w:szCs w:val="20"/>
              </w:rPr>
              <w:t xml:space="preserve">2026 Q4</w:t>
            </w:r>
          </w:p>
        </w:tc>
      </w:tr>
      <w:tr>
        <w:tc>
          <w:tcPr>
            <w:tcW w:type="dxa" w:w="2400"/>
            <w:tcBorders>
              <w:top w:val="single" w:color="D4A843" w:sz="1"/>
              <w:left w:val="single" w:color="D4A843" w:sz="1"/>
              <w:bottom w:val="single" w:color="D4A843" w:sz="1"/>
              <w:right w:val="single" w:color="D4A843" w:sz="1"/>
            </w:tcBorders>
            <w:shd w:fill="F5F0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D1A2A"/>
                <w:sz w:val="20"/>
                <w:szCs w:val="20"/>
              </w:rPr>
              <w:t xml:space="preserve">Fase 3 — Completo</w:t>
            </w:r>
          </w:p>
        </w:tc>
        <w:tc>
          <w:tcPr>
            <w:tcW w:type="dxa" w:w="2400"/>
            <w:tcBorders>
              <w:top w:val="single" w:color="D4A843" w:sz="1"/>
              <w:left w:val="single" w:color="D4A843" w:sz="1"/>
              <w:bottom w:val="single" w:color="D4A843" w:sz="1"/>
              <w:right w:val="single" w:color="D4A843" w:sz="1"/>
            </w:tcBorders>
            <w:shd w:fill="F5F0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D1A2A"/>
                <w:sz w:val="20"/>
                <w:szCs w:val="20"/>
              </w:rPr>
              <w:t xml:space="preserve">$100M USD</w:t>
            </w:r>
          </w:p>
        </w:tc>
        <w:tc>
          <w:tcPr>
            <w:tcW w:type="dxa" w:w="2400"/>
            <w:tcBorders>
              <w:top w:val="single" w:color="D4A843" w:sz="1"/>
              <w:left w:val="single" w:color="D4A843" w:sz="1"/>
              <w:bottom w:val="single" w:color="D4A843" w:sz="1"/>
              <w:right w:val="single" w:color="D4A843" w:sz="1"/>
            </w:tcBorders>
            <w:shd w:fill="F5F0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D1A2A"/>
                <w:sz w:val="20"/>
                <w:szCs w:val="20"/>
              </w:rPr>
              <w:t xml:space="preserve">~100B CLPT</w:t>
            </w:r>
          </w:p>
        </w:tc>
        <w:tc>
          <w:tcPr>
            <w:tcW w:type="dxa" w:w="2160"/>
            <w:tcBorders>
              <w:top w:val="single" w:color="D4A843" w:sz="1"/>
              <w:left w:val="single" w:color="D4A843" w:sz="1"/>
              <w:bottom w:val="single" w:color="D4A843" w:sz="1"/>
              <w:right w:val="single" w:color="D4A843" w:sz="1"/>
            </w:tcBorders>
            <w:shd w:fill="F5F0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D1A2A"/>
                <w:sz w:val="20"/>
                <w:szCs w:val="20"/>
              </w:rPr>
              <w:t xml:space="preserve">2027 Q2</w:t>
            </w:r>
          </w:p>
        </w:tc>
      </w:tr>
    </w:tbl>
    <w:p>
      <w:pPr>
        <w:pBdr>
          <w:bottom w:val="single" w:color="B87333" w:sz="4" w:space="1"/>
        </w:pBdr>
        <w:spacing w:before="200" w:after="200"/>
      </w:pPr>
      <w:r>
        <w:t xml:space="preserv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B87333"/>
          <w:sz w:val="36"/>
          <w:szCs w:val="36"/>
        </w:rPr>
        <w:t xml:space="preserve">6. Marco Legal y Cumplimiento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D1A2A"/>
          <w:sz w:val="28"/>
          <w:szCs w:val="28"/>
        </w:rPr>
        <w:t xml:space="preserve">6.1 Estructura Corporativa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Bitcopper Technologies LLC (Wyoming, USA) — emisora del token, custodio de reserva USD, levantamiento de capital internacional.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Bitcopper Tech SpA (Calama, Chile) — operadora de la red, cumplimiento CMF y UAF, relación con exchanges chilenos.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D1A2A"/>
          <w:sz w:val="28"/>
          <w:szCs w:val="28"/>
        </w:rPr>
        <w:t xml:space="preserve">6.2 Cumplimiento Regulatorio Chile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Registro ante la CMF como proveedor de servicios de activos virtuales (PSAV).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Política AML/KYC obligatoria para todos los usuarios con transacciones superiores a UF 50.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Reporte automático a la UAF de transacciones sospechosas.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Bitcopper-Core permite congelar fondos por orden judicial chilena en la capa institucional.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D1A2A"/>
          <w:sz w:val="28"/>
          <w:szCs w:val="28"/>
        </w:rPr>
        <w:t xml:space="preserve">6.3 Auditoría</w:t>
      </w:r>
    </w:p>
    <w:p>
      <w:pPr>
        <w:spacing w:before="10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 reserva será auditada trimestralmente por una firma certificada. Los reportes serán publicados on-chain y en el sitio web de Bitcopper. El contrato inteligente de CLPT incluye un oráculo que verifica en tiempo real que tokens emitidos ≤ reserva certificada.</w:t>
      </w:r>
    </w:p>
    <w:p>
      <w:pPr>
        <w:pBdr>
          <w:bottom w:val="single" w:color="B87333" w:sz="4" w:space="1"/>
        </w:pBdr>
        <w:spacing w:before="200" w:after="200"/>
      </w:pPr>
      <w:r>
        <w:t xml:space="preserv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B87333"/>
          <w:sz w:val="36"/>
          <w:szCs w:val="36"/>
        </w:rPr>
        <w:t xml:space="preserve">7. Hoja de Ruta: El Dólar Digital de Latinoamérica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D1A2A"/>
          <w:sz w:val="28"/>
          <w:szCs w:val="28"/>
        </w:rPr>
        <w:t xml:space="preserve">7.1 Expansión Regional</w:t>
      </w:r>
    </w:p>
    <w:p>
      <w:pPr>
        <w:spacing w:before="10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CLPT es el primer token de una familia de stablecoins latinoamericanas operadas por Bitcopper: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360"/>
        <w:gridCol w:w="3000"/>
      </w:tblGrid>
      <w:tr>
        <w:tc>
          <w:tcPr>
            <w:tcW w:type="dxa" w:w="2000"/>
            <w:tcBorders>
              <w:top w:val="single" w:color="D4A843" w:sz="1"/>
              <w:left w:val="single" w:color="D4A843" w:sz="1"/>
              <w:bottom w:val="single" w:color="D4A843" w:sz="1"/>
              <w:right w:val="single" w:color="D4A843" w:sz="1"/>
            </w:tcBorders>
            <w:shd w:fill="B8733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000"/>
            <w:tcBorders>
              <w:top w:val="single" w:color="D4A843" w:sz="1"/>
              <w:left w:val="single" w:color="D4A843" w:sz="1"/>
              <w:bottom w:val="single" w:color="D4A843" w:sz="1"/>
              <w:right w:val="single" w:color="D4A843" w:sz="1"/>
            </w:tcBorders>
            <w:shd w:fill="B8733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MONEDA</w:t>
            </w:r>
          </w:p>
        </w:tc>
        <w:tc>
          <w:tcPr>
            <w:tcW w:type="dxa" w:w="2360"/>
            <w:tcBorders>
              <w:top w:val="single" w:color="D4A843" w:sz="1"/>
              <w:left w:val="single" w:color="D4A843" w:sz="1"/>
              <w:bottom w:val="single" w:color="D4A843" w:sz="1"/>
              <w:right w:val="single" w:color="D4A843" w:sz="1"/>
            </w:tcBorders>
            <w:shd w:fill="B8733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PAÍS</w:t>
            </w:r>
          </w:p>
        </w:tc>
        <w:tc>
          <w:tcPr>
            <w:tcW w:type="dxa" w:w="3000"/>
            <w:tcBorders>
              <w:top w:val="single" w:color="D4A843" w:sz="1"/>
              <w:left w:val="single" w:color="D4A843" w:sz="1"/>
              <w:bottom w:val="single" w:color="D4A843" w:sz="1"/>
              <w:right w:val="single" w:color="D4A843" w:sz="1"/>
            </w:tcBorders>
            <w:shd w:fill="B8733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</w:tr>
      <w:tr>
        <w:tc>
          <w:tcPr>
            <w:tcW w:type="dxa" w:w="2000"/>
            <w:tcBorders>
              <w:top w:val="single" w:color="D4A843" w:sz="1"/>
              <w:left w:val="single" w:color="D4A843" w:sz="1"/>
              <w:bottom w:val="single" w:color="D4A843" w:sz="1"/>
              <w:right w:val="single" w:color="D4A843" w:sz="1"/>
            </w:tcBorders>
            <w:shd w:fill="F5F0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B87333"/>
                <w:sz w:val="20"/>
                <w:szCs w:val="20"/>
              </w:rPr>
              <w:t xml:space="preserve">CLPT</w:t>
            </w:r>
          </w:p>
        </w:tc>
        <w:tc>
          <w:tcPr>
            <w:tcW w:type="dxa" w:w="2000"/>
            <w:tcBorders>
              <w:top w:val="single" w:color="D4A843" w:sz="1"/>
              <w:left w:val="single" w:color="D4A843" w:sz="1"/>
              <w:bottom w:val="single" w:color="D4A843" w:sz="1"/>
              <w:right w:val="single" w:color="D4A843" w:sz="1"/>
            </w:tcBorders>
            <w:shd w:fill="F5F0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D1A2A"/>
                <w:sz w:val="20"/>
                <w:szCs w:val="20"/>
              </w:rPr>
              <w:t xml:space="preserve">Peso Chileno (CLP)</w:t>
            </w:r>
          </w:p>
        </w:tc>
        <w:tc>
          <w:tcPr>
            <w:tcW w:type="dxa" w:w="2360"/>
            <w:tcBorders>
              <w:top w:val="single" w:color="D4A843" w:sz="1"/>
              <w:left w:val="single" w:color="D4A843" w:sz="1"/>
              <w:bottom w:val="single" w:color="D4A843" w:sz="1"/>
              <w:right w:val="single" w:color="D4A843" w:sz="1"/>
            </w:tcBorders>
            <w:shd w:fill="F5F0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D1A2A"/>
                <w:sz w:val="20"/>
                <w:szCs w:val="20"/>
              </w:rPr>
              <w:t xml:space="preserve">Chile</w:t>
            </w:r>
          </w:p>
        </w:tc>
        <w:tc>
          <w:tcPr>
            <w:tcW w:type="dxa" w:w="3000"/>
            <w:tcBorders>
              <w:top w:val="single" w:color="D4A843" w:sz="1"/>
              <w:left w:val="single" w:color="D4A843" w:sz="1"/>
              <w:bottom w:val="single" w:color="D4A843" w:sz="1"/>
              <w:right w:val="single" w:color="D4A843" w:sz="1"/>
            </w:tcBorders>
            <w:shd w:fill="F5F0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D1A2A"/>
                <w:sz w:val="20"/>
                <w:szCs w:val="20"/>
              </w:rPr>
              <w:t xml:space="preserve">Fase 1 — 2026 Q2</w:t>
            </w:r>
          </w:p>
        </w:tc>
      </w:tr>
      <w:tr>
        <w:tc>
          <w:tcPr>
            <w:tcW w:type="dxa" w:w="2000"/>
            <w:tcBorders>
              <w:top w:val="single" w:color="D4A843" w:sz="1"/>
              <w:left w:val="single" w:color="D4A843" w:sz="1"/>
              <w:bottom w:val="single" w:color="D4A843" w:sz="1"/>
              <w:right w:val="single" w:color="D4A843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B87333"/>
                <w:sz w:val="20"/>
                <w:szCs w:val="20"/>
              </w:rPr>
              <w:t xml:space="preserve">ARST</w:t>
            </w:r>
          </w:p>
        </w:tc>
        <w:tc>
          <w:tcPr>
            <w:tcW w:type="dxa" w:w="2000"/>
            <w:tcBorders>
              <w:top w:val="single" w:color="D4A843" w:sz="1"/>
              <w:left w:val="single" w:color="D4A843" w:sz="1"/>
              <w:bottom w:val="single" w:color="D4A843" w:sz="1"/>
              <w:right w:val="single" w:color="D4A843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D1A2A"/>
                <w:sz w:val="20"/>
                <w:szCs w:val="20"/>
              </w:rPr>
              <w:t xml:space="preserve">Peso Argentino (ARS)</w:t>
            </w:r>
          </w:p>
        </w:tc>
        <w:tc>
          <w:tcPr>
            <w:tcW w:type="dxa" w:w="2360"/>
            <w:tcBorders>
              <w:top w:val="single" w:color="D4A843" w:sz="1"/>
              <w:left w:val="single" w:color="D4A843" w:sz="1"/>
              <w:bottom w:val="single" w:color="D4A843" w:sz="1"/>
              <w:right w:val="single" w:color="D4A843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D1A2A"/>
                <w:sz w:val="20"/>
                <w:szCs w:val="20"/>
              </w:rPr>
              <w:t xml:space="preserve">Argentina</w:t>
            </w:r>
          </w:p>
        </w:tc>
        <w:tc>
          <w:tcPr>
            <w:tcW w:type="dxa" w:w="3000"/>
            <w:tcBorders>
              <w:top w:val="single" w:color="D4A843" w:sz="1"/>
              <w:left w:val="single" w:color="D4A843" w:sz="1"/>
              <w:bottom w:val="single" w:color="D4A843" w:sz="1"/>
              <w:right w:val="single" w:color="D4A843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D1A2A"/>
                <w:sz w:val="20"/>
                <w:szCs w:val="20"/>
              </w:rPr>
              <w:t xml:space="preserve">Fase 3 — 2027</w:t>
            </w:r>
          </w:p>
        </w:tc>
      </w:tr>
      <w:tr>
        <w:tc>
          <w:tcPr>
            <w:tcW w:type="dxa" w:w="2000"/>
            <w:tcBorders>
              <w:top w:val="single" w:color="D4A843" w:sz="1"/>
              <w:left w:val="single" w:color="D4A843" w:sz="1"/>
              <w:bottom w:val="single" w:color="D4A843" w:sz="1"/>
              <w:right w:val="single" w:color="D4A843" w:sz="1"/>
            </w:tcBorders>
            <w:shd w:fill="F5F0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B87333"/>
                <w:sz w:val="20"/>
                <w:szCs w:val="20"/>
              </w:rPr>
              <w:t xml:space="preserve">BRLT</w:t>
            </w:r>
          </w:p>
        </w:tc>
        <w:tc>
          <w:tcPr>
            <w:tcW w:type="dxa" w:w="2000"/>
            <w:tcBorders>
              <w:top w:val="single" w:color="D4A843" w:sz="1"/>
              <w:left w:val="single" w:color="D4A843" w:sz="1"/>
              <w:bottom w:val="single" w:color="D4A843" w:sz="1"/>
              <w:right w:val="single" w:color="D4A843" w:sz="1"/>
            </w:tcBorders>
            <w:shd w:fill="F5F0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D1A2A"/>
                <w:sz w:val="20"/>
                <w:szCs w:val="20"/>
              </w:rPr>
              <w:t xml:space="preserve">Real Brasileño (BRL)</w:t>
            </w:r>
          </w:p>
        </w:tc>
        <w:tc>
          <w:tcPr>
            <w:tcW w:type="dxa" w:w="2360"/>
            <w:tcBorders>
              <w:top w:val="single" w:color="D4A843" w:sz="1"/>
              <w:left w:val="single" w:color="D4A843" w:sz="1"/>
              <w:bottom w:val="single" w:color="D4A843" w:sz="1"/>
              <w:right w:val="single" w:color="D4A843" w:sz="1"/>
            </w:tcBorders>
            <w:shd w:fill="F5F0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D1A2A"/>
                <w:sz w:val="20"/>
                <w:szCs w:val="20"/>
              </w:rPr>
              <w:t xml:space="preserve">Brasil</w:t>
            </w:r>
          </w:p>
        </w:tc>
        <w:tc>
          <w:tcPr>
            <w:tcW w:type="dxa" w:w="3000"/>
            <w:tcBorders>
              <w:top w:val="single" w:color="D4A843" w:sz="1"/>
              <w:left w:val="single" w:color="D4A843" w:sz="1"/>
              <w:bottom w:val="single" w:color="D4A843" w:sz="1"/>
              <w:right w:val="single" w:color="D4A843" w:sz="1"/>
            </w:tcBorders>
            <w:shd w:fill="F5F0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D1A2A"/>
                <w:sz w:val="20"/>
                <w:szCs w:val="20"/>
              </w:rPr>
              <w:t xml:space="preserve">Fase 3 — 2027</w:t>
            </w:r>
          </w:p>
        </w:tc>
      </w:tr>
      <w:tr>
        <w:tc>
          <w:tcPr>
            <w:tcW w:type="dxa" w:w="2000"/>
            <w:tcBorders>
              <w:top w:val="single" w:color="D4A843" w:sz="1"/>
              <w:left w:val="single" w:color="D4A843" w:sz="1"/>
              <w:bottom w:val="single" w:color="D4A843" w:sz="1"/>
              <w:right w:val="single" w:color="D4A843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B87333"/>
                <w:sz w:val="20"/>
                <w:szCs w:val="20"/>
              </w:rPr>
              <w:t xml:space="preserve">MXNT</w:t>
            </w:r>
          </w:p>
        </w:tc>
        <w:tc>
          <w:tcPr>
            <w:tcW w:type="dxa" w:w="2000"/>
            <w:tcBorders>
              <w:top w:val="single" w:color="D4A843" w:sz="1"/>
              <w:left w:val="single" w:color="D4A843" w:sz="1"/>
              <w:bottom w:val="single" w:color="D4A843" w:sz="1"/>
              <w:right w:val="single" w:color="D4A843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D1A2A"/>
                <w:sz w:val="20"/>
                <w:szCs w:val="20"/>
              </w:rPr>
              <w:t xml:space="preserve">Peso Mexicano (MXN)</w:t>
            </w:r>
          </w:p>
        </w:tc>
        <w:tc>
          <w:tcPr>
            <w:tcW w:type="dxa" w:w="2360"/>
            <w:tcBorders>
              <w:top w:val="single" w:color="D4A843" w:sz="1"/>
              <w:left w:val="single" w:color="D4A843" w:sz="1"/>
              <w:bottom w:val="single" w:color="D4A843" w:sz="1"/>
              <w:right w:val="single" w:color="D4A843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D1A2A"/>
                <w:sz w:val="20"/>
                <w:szCs w:val="20"/>
              </w:rPr>
              <w:t xml:space="preserve">México</w:t>
            </w:r>
          </w:p>
        </w:tc>
        <w:tc>
          <w:tcPr>
            <w:tcW w:type="dxa" w:w="3000"/>
            <w:tcBorders>
              <w:top w:val="single" w:color="D4A843" w:sz="1"/>
              <w:left w:val="single" w:color="D4A843" w:sz="1"/>
              <w:bottom w:val="single" w:color="D4A843" w:sz="1"/>
              <w:right w:val="single" w:color="D4A843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D1A2A"/>
                <w:sz w:val="20"/>
                <w:szCs w:val="20"/>
              </w:rPr>
              <w:t xml:space="preserve">Fase 3 — 2027</w:t>
            </w:r>
          </w:p>
        </w:tc>
      </w:tr>
      <w:tr>
        <w:tc>
          <w:tcPr>
            <w:tcW w:type="dxa" w:w="2000"/>
            <w:tcBorders>
              <w:top w:val="single" w:color="D4A843" w:sz="1"/>
              <w:left w:val="single" w:color="D4A843" w:sz="1"/>
              <w:bottom w:val="single" w:color="D4A843" w:sz="1"/>
              <w:right w:val="single" w:color="D4A843" w:sz="1"/>
            </w:tcBorders>
            <w:shd w:fill="F5F0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B87333"/>
                <w:sz w:val="20"/>
                <w:szCs w:val="20"/>
              </w:rPr>
              <w:t xml:space="preserve">COPT</w:t>
            </w:r>
          </w:p>
        </w:tc>
        <w:tc>
          <w:tcPr>
            <w:tcW w:type="dxa" w:w="2000"/>
            <w:tcBorders>
              <w:top w:val="single" w:color="D4A843" w:sz="1"/>
              <w:left w:val="single" w:color="D4A843" w:sz="1"/>
              <w:bottom w:val="single" w:color="D4A843" w:sz="1"/>
              <w:right w:val="single" w:color="D4A843" w:sz="1"/>
            </w:tcBorders>
            <w:shd w:fill="F5F0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D1A2A"/>
                <w:sz w:val="20"/>
                <w:szCs w:val="20"/>
              </w:rPr>
              <w:t xml:space="preserve">Peso Colombiano (COP)</w:t>
            </w:r>
          </w:p>
        </w:tc>
        <w:tc>
          <w:tcPr>
            <w:tcW w:type="dxa" w:w="2360"/>
            <w:tcBorders>
              <w:top w:val="single" w:color="D4A843" w:sz="1"/>
              <w:left w:val="single" w:color="D4A843" w:sz="1"/>
              <w:bottom w:val="single" w:color="D4A843" w:sz="1"/>
              <w:right w:val="single" w:color="D4A843" w:sz="1"/>
            </w:tcBorders>
            <w:shd w:fill="F5F0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D1A2A"/>
                <w:sz w:val="20"/>
                <w:szCs w:val="20"/>
              </w:rPr>
              <w:t xml:space="preserve">Colombia</w:t>
            </w:r>
          </w:p>
        </w:tc>
        <w:tc>
          <w:tcPr>
            <w:tcW w:type="dxa" w:w="3000"/>
            <w:tcBorders>
              <w:top w:val="single" w:color="D4A843" w:sz="1"/>
              <w:left w:val="single" w:color="D4A843" w:sz="1"/>
              <w:bottom w:val="single" w:color="D4A843" w:sz="1"/>
              <w:right w:val="single" w:color="D4A843" w:sz="1"/>
            </w:tcBorders>
            <w:shd w:fill="F5F0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D1A2A"/>
                <w:sz w:val="20"/>
                <w:szCs w:val="20"/>
              </w:rPr>
              <w:t xml:space="preserve">Fase 4 — 2028</w:t>
            </w:r>
          </w:p>
        </w:tc>
      </w:tr>
      <w:tr>
        <w:tc>
          <w:tcPr>
            <w:tcW w:type="dxa" w:w="2000"/>
            <w:tcBorders>
              <w:top w:val="single" w:color="D4A843" w:sz="1"/>
              <w:left w:val="single" w:color="D4A843" w:sz="1"/>
              <w:bottom w:val="single" w:color="D4A843" w:sz="1"/>
              <w:right w:val="single" w:color="D4A843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B87333"/>
                <w:sz w:val="20"/>
                <w:szCs w:val="20"/>
              </w:rPr>
              <w:t xml:space="preserve">PERT</w:t>
            </w:r>
          </w:p>
        </w:tc>
        <w:tc>
          <w:tcPr>
            <w:tcW w:type="dxa" w:w="2000"/>
            <w:tcBorders>
              <w:top w:val="single" w:color="D4A843" w:sz="1"/>
              <w:left w:val="single" w:color="D4A843" w:sz="1"/>
              <w:bottom w:val="single" w:color="D4A843" w:sz="1"/>
              <w:right w:val="single" w:color="D4A843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D1A2A"/>
                <w:sz w:val="20"/>
                <w:szCs w:val="20"/>
              </w:rPr>
              <w:t xml:space="preserve">Sol Peruano (PEN)</w:t>
            </w:r>
          </w:p>
        </w:tc>
        <w:tc>
          <w:tcPr>
            <w:tcW w:type="dxa" w:w="2360"/>
            <w:tcBorders>
              <w:top w:val="single" w:color="D4A843" w:sz="1"/>
              <w:left w:val="single" w:color="D4A843" w:sz="1"/>
              <w:bottom w:val="single" w:color="D4A843" w:sz="1"/>
              <w:right w:val="single" w:color="D4A843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D1A2A"/>
                <w:sz w:val="20"/>
                <w:szCs w:val="20"/>
              </w:rPr>
              <w:t xml:space="preserve">Perú</w:t>
            </w:r>
          </w:p>
        </w:tc>
        <w:tc>
          <w:tcPr>
            <w:tcW w:type="dxa" w:w="3000"/>
            <w:tcBorders>
              <w:top w:val="single" w:color="D4A843" w:sz="1"/>
              <w:left w:val="single" w:color="D4A843" w:sz="1"/>
              <w:bottom w:val="single" w:color="D4A843" w:sz="1"/>
              <w:right w:val="single" w:color="D4A843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D1A2A"/>
                <w:sz w:val="20"/>
                <w:szCs w:val="20"/>
              </w:rPr>
              <w:t xml:space="preserve">Fase 4 — 2028</w:t>
            </w:r>
          </w:p>
        </w:tc>
      </w:tr>
    </w:tbl>
    <w:p>
      <w:pPr>
        <w:pBdr>
          <w:bottom w:val="single" w:color="B87333" w:sz="4" w:space="1"/>
        </w:pBdr>
        <w:spacing w:before="200" w:after="200"/>
      </w:pPr>
      <w:r>
        <w:t xml:space="preserv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B87333"/>
          <w:sz w:val="36"/>
          <w:szCs w:val="36"/>
        </w:rPr>
        <w:t xml:space="preserve">8. Aviso Legal</w:t>
      </w:r>
    </w:p>
    <w:p>
      <w:pPr>
        <w:spacing w:before="10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Este whitepaper es un documento informativo. CLPT es un proyecto experimental en desarrollo. No constituye una oferta de valores ni una invitación a invertir. La reserva de $100M USD es el objetivo de largo plazo — el lanzamiento inicial operará con reserva parcial auditada. Bitcopper Tech SpA es responsable del cumplimiento regulatorio en Chile. Bitcopper Technologies LLC es la entidad emisora en Wyoming, USA.</w:t>
      </w:r>
    </w:p>
    <w:p>
      <w:pPr>
        <w:pBdr>
          <w:bottom w:val="single" w:color="B87333" w:sz="4" w:space="1"/>
        </w:pBdr>
        <w:spacing w:before="200" w:after="200"/>
      </w:pPr>
      <w:r>
        <w:t xml:space="preserve"/>
      </w:r>
    </w:p>
    <w:p>
      <w:pPr>
        <w:spacing w:before="400" w:after="10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© 2026 Bitcopper Tech SpA · Bitcopper Technologies LLC</w:t>
      </w:r>
    </w:p>
    <w:p>
      <w:pPr>
        <w:jc w:val="center"/>
      </w:pPr>
      <w:r>
        <w:rPr>
          <w:rFonts w:ascii="Arial" w:cs="Arial" w:eastAsia="Arial" w:hAnsi="Arial"/>
          <w:i/>
          <w:iCs/>
          <w:color w:val="B87333"/>
          <w:sz w:val="20"/>
          <w:szCs w:val="20"/>
        </w:rPr>
        <w:t xml:space="preserve">Pedro Ramos Morales · Calama, Chile · In cuprum veritas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2026-03-06T20:27:01.682Z</dcterms:created>
  <dcterms:modified xsi:type="dcterms:W3CDTF">2026-03-06T20:27:01.683Z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