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BIST, DOHOL, ASELS: Almanya Enflasyonu Zirve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Almanya'da eylülde yüzde 10 olan yıllık enflasyon, 1951'den bu yana görülen en yüksek seviyeye ulaştı. Enerji ve gıda fiyatlarındaki son yükselişle ekimde yüzde 10,4'e yükseldi.</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Destatis açıklamasında, rekor enflasyonun, Rusya-Ukrayna savaşı ve artan enerji fiyatlarından kaynaklandığı belirtilerek, "Özellikle enerji fiyatları, Ukrayna'da savaşın başlamasından bu yana önemli ölçüde arttı ve yüksek enflasyon oranı üzerinde önemli bir etkisi oldu." denildi.</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beklenen karı açıklayamadı ve hisseleri yüzde 20 düştü. Elon Musk Twitter’ı satın aldı ve kuş artık özgür diye paylaştı.</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TSLA</w:t>
        </w:r>
      </w:hyperlink>
      <w:r w:rsidDel="00000000" w:rsidR="00000000" w:rsidRPr="00000000">
        <w:rPr>
          <w:rFonts w:ascii="Times New Roman" w:cs="Times New Roman" w:eastAsia="Times New Roman" w:hAnsi="Times New Roman"/>
          <w:sz w:val="24"/>
          <w:szCs w:val="24"/>
          <w:rtl w:val="0"/>
        </w:rPr>
        <w:t xml:space="preserve"> grafiği, yüzde 1.6 ile USD 228 fiyatında ilerlemektedir.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https://www.tradingview.com/x/9KzVCleO/</w:t>
      </w:r>
    </w:p>
    <w:p w:rsidR="00000000" w:rsidDel="00000000" w:rsidP="00000000" w:rsidRDefault="00000000" w:rsidRPr="00000000" w14:paraId="0000000F">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TradingView’den</w:t>
      </w:r>
    </w:p>
    <w:p w:rsidR="00000000" w:rsidDel="00000000" w:rsidP="00000000" w:rsidRDefault="00000000" w:rsidRPr="00000000" w14:paraId="00000010">
      <w:pPr>
        <w:rPr>
          <w:sz w:val="24"/>
          <w:szCs w:val="24"/>
          <w:highlight w:val="white"/>
        </w:rPr>
      </w:pPr>
      <w:hyperlink r:id="rId7">
        <w:r w:rsidDel="00000000" w:rsidR="00000000" w:rsidRPr="00000000">
          <w:rPr>
            <w:color w:val="1155cc"/>
            <w:sz w:val="24"/>
            <w:szCs w:val="24"/>
            <w:highlight w:val="white"/>
            <w:u w:val="single"/>
            <w:rtl w:val="0"/>
          </w:rPr>
          <w:t xml:space="preserve">Borsa İstanbul</w:t>
        </w:r>
      </w:hyperlink>
      <w:r w:rsidDel="00000000" w:rsidR="00000000" w:rsidRPr="00000000">
        <w:rPr>
          <w:sz w:val="24"/>
          <w:szCs w:val="24"/>
          <w:highlight w:val="white"/>
          <w:rtl w:val="0"/>
        </w:rPr>
        <w:t xml:space="preserve"> 3878 puandan kapanış göstererek 4000 rekorunun altında kapandı. 3546 ‘ya kadar iniş yapabilir veya Türkiye’nin yüzyılı sloganını piyasaların satın almasıyla 4200 skoru denenebilir. Süpertrend halen al sinyalinde ve yükselişe destek sunuyor. </w:t>
      </w:r>
    </w:p>
    <w:p w:rsidR="00000000" w:rsidDel="00000000" w:rsidP="00000000" w:rsidRDefault="00000000" w:rsidRPr="00000000" w14:paraId="00000011">
      <w:pPr>
        <w:rPr>
          <w:sz w:val="24"/>
          <w:szCs w:val="24"/>
          <w:highlight w:val="white"/>
        </w:rPr>
      </w:pP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rtl w:val="0"/>
        </w:rPr>
      </w:r>
    </w:p>
    <w:p w:rsidR="00000000" w:rsidDel="00000000" w:rsidP="00000000" w:rsidRDefault="00000000" w:rsidRPr="00000000" w14:paraId="00000013">
      <w:pPr>
        <w:keepNext w:val="1"/>
        <w:keepLines w:val="1"/>
        <w:shd w:fill="fffffe" w:val="clear"/>
        <w:spacing w:line="324.0000000000000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keepNext w:val="1"/>
        <w:keepLines w:val="1"/>
        <w:shd w:fill="fffffe" w:val="clear"/>
        <w:spacing w:line="32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https://www.tradingview.com/x/j9DILxwF/</w:t>
      </w:r>
    </w:p>
    <w:p w:rsidR="00000000" w:rsidDel="00000000" w:rsidP="00000000" w:rsidRDefault="00000000" w:rsidRPr="00000000" w14:paraId="00000015">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TradingView’den</w:t>
      </w:r>
    </w:p>
    <w:p w:rsidR="00000000" w:rsidDel="00000000" w:rsidP="00000000" w:rsidRDefault="00000000" w:rsidRPr="00000000" w14:paraId="00000016">
      <w:pPr>
        <w:keepNext w:val="1"/>
        <w:keepLines w:val="1"/>
        <w:shd w:fill="fffffe" w:val="clear"/>
        <w:spacing w:line="324.00000000000006" w:lineRule="auto"/>
        <w:rPr>
          <w:rFonts w:ascii="Montserrat" w:cs="Montserrat" w:eastAsia="Montserrat" w:hAnsi="Montserrat"/>
          <w:sz w:val="24"/>
          <w:szCs w:val="24"/>
          <w:highlight w:val="white"/>
        </w:rPr>
      </w:pPr>
      <w:hyperlink r:id="rId8">
        <w:r w:rsidDel="00000000" w:rsidR="00000000" w:rsidRPr="00000000">
          <w:rPr>
            <w:rFonts w:ascii="Montserrat" w:cs="Montserrat" w:eastAsia="Montserrat" w:hAnsi="Montserrat"/>
            <w:color w:val="1155cc"/>
            <w:sz w:val="24"/>
            <w:szCs w:val="24"/>
            <w:highlight w:val="white"/>
            <w:u w:val="single"/>
            <w:rtl w:val="0"/>
          </w:rPr>
          <w:t xml:space="preserve">DOHOL</w:t>
        </w:r>
      </w:hyperlink>
      <w:r w:rsidDel="00000000" w:rsidR="00000000" w:rsidRPr="00000000">
        <w:rPr>
          <w:rFonts w:ascii="Montserrat" w:cs="Montserrat" w:eastAsia="Montserrat" w:hAnsi="Montserrat"/>
          <w:sz w:val="24"/>
          <w:szCs w:val="24"/>
          <w:highlight w:val="white"/>
          <w:rtl w:val="0"/>
        </w:rPr>
        <w:t xml:space="preserve"> varlığına dair %-1.318 gibi bir düşüşü 5.99 fiyatıyla görmekteyiz. Müthiş Osilatör, 0.6707 puanı ile grafiğe anlamlı farklılık katıyor. Gerçek aralığın ortalaması 0.2416 gayet doğal bir çizgide ilerliyor. Emtia Kanal Endeksi anlamında 50.7937 olarak pozitiftir.</w:t>
      </w:r>
    </w:p>
    <w:p w:rsidR="00000000" w:rsidDel="00000000" w:rsidP="00000000" w:rsidRDefault="00000000" w:rsidRPr="00000000" w14:paraId="00000017">
      <w:pPr>
        <w:keepNext w:val="1"/>
        <w:keepLines w:val="1"/>
        <w:shd w:fill="fffffe" w:val="clear"/>
        <w:spacing w:line="324.0000000000000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8">
      <w:pPr>
        <w:keepNext w:val="1"/>
        <w:keepLines w:val="1"/>
        <w:shd w:fill="fffffe" w:val="clear"/>
        <w:spacing w:line="324.0000000000000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İvme 0.55 noktasında anlamlı bir yükselişe ve olumlu direnç kanalı kırılımlarına katkıda bulunuyor.</w:t>
      </w:r>
    </w:p>
    <w:p w:rsidR="00000000" w:rsidDel="00000000" w:rsidP="00000000" w:rsidRDefault="00000000" w:rsidRPr="00000000" w14:paraId="00000019">
      <w:pPr>
        <w:keepNext w:val="1"/>
        <w:keepLines w:val="1"/>
        <w:shd w:fill="fffffe" w:val="clear"/>
        <w:spacing w:line="324.0000000000000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A">
      <w:pPr>
        <w:keepNext w:val="1"/>
        <w:keepLines w:val="1"/>
        <w:shd w:fill="fffffe" w:val="clear"/>
        <w:spacing w:line="324.0000000000000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Beklenmedik şekilde volatilite arttı (2.1776).</w:t>
      </w:r>
    </w:p>
    <w:p w:rsidR="00000000" w:rsidDel="00000000" w:rsidP="00000000" w:rsidRDefault="00000000" w:rsidRPr="00000000" w14:paraId="0000001B">
      <w:pPr>
        <w:keepNext w:val="1"/>
        <w:keepLines w:val="1"/>
        <w:shd w:fill="fffffe" w:val="clear"/>
        <w:spacing w:line="324.0000000000000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C">
      <w:pPr>
        <w:keepNext w:val="1"/>
        <w:keepLines w:val="1"/>
        <w:shd w:fill="fffffe" w:val="clear"/>
        <w:spacing w:line="324.0000000000000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Göreceli hacim olarak (ideal olan 3.5) 0.2258 bir skor görmekteyiz.</w:t>
      </w:r>
    </w:p>
    <w:p w:rsidR="00000000" w:rsidDel="00000000" w:rsidP="00000000" w:rsidRDefault="00000000" w:rsidRPr="00000000" w14:paraId="0000001D">
      <w:pPr>
        <w:keepNext w:val="1"/>
        <w:keepLines w:val="1"/>
        <w:shd w:fill="fffffe" w:val="clear"/>
        <w:spacing w:line="324.0000000000000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E">
      <w:pPr>
        <w:keepNext w:val="1"/>
        <w:keepLines w:val="1"/>
        <w:shd w:fill="fffffe" w:val="clear"/>
        <w:spacing w:line="324.0000000000000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Üstel hareketli ortalama (EMA50) bir kaybı temsil ediyor (5.3469).</w:t>
      </w:r>
    </w:p>
    <w:p w:rsidR="00000000" w:rsidDel="00000000" w:rsidP="00000000" w:rsidRDefault="00000000" w:rsidRPr="00000000" w14:paraId="0000001F">
      <w:pPr>
        <w:keepNext w:val="1"/>
        <w:keepLines w:val="1"/>
        <w:shd w:fill="fffffe" w:val="clear"/>
        <w:spacing w:line="324.0000000000000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0">
      <w:pPr>
        <w:keepNext w:val="1"/>
        <w:keepLines w:val="1"/>
        <w:shd w:fill="fffffe" w:val="clear"/>
        <w:spacing w:line="324.0000000000000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Destek noktaları (5.0633 &amp; 4.9365) pivot tarafında takip edilmektedir.</w:t>
      </w:r>
    </w:p>
    <w:p w:rsidR="00000000" w:rsidDel="00000000" w:rsidP="00000000" w:rsidRDefault="00000000" w:rsidRPr="00000000" w14:paraId="00000021">
      <w:pPr>
        <w:keepNext w:val="1"/>
        <w:keepLines w:val="1"/>
        <w:shd w:fill="fffffe" w:val="clear"/>
        <w:spacing w:line="324.0000000000000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2">
      <w:pPr>
        <w:keepNext w:val="1"/>
        <w:keepLines w:val="1"/>
        <w:shd w:fill="fffffe" w:val="clear"/>
        <w:spacing w:line="324.00000000000006" w:lineRule="auto"/>
        <w:rPr>
          <w:rFonts w:ascii="Montserrat" w:cs="Montserrat" w:eastAsia="Montserrat" w:hAnsi="Montserrat"/>
          <w:sz w:val="24"/>
          <w:szCs w:val="24"/>
          <w:shd w:fill="f8f8f8" w:val="clear"/>
        </w:rPr>
      </w:pPr>
      <w:r w:rsidDel="00000000" w:rsidR="00000000" w:rsidRPr="00000000">
        <w:rPr>
          <w:rtl w:val="0"/>
        </w:rPr>
      </w:r>
    </w:p>
    <w:p w:rsidR="00000000" w:rsidDel="00000000" w:rsidP="00000000" w:rsidRDefault="00000000" w:rsidRPr="00000000" w14:paraId="00000023">
      <w:pPr>
        <w:keepNext w:val="1"/>
        <w:keepLines w:val="1"/>
        <w:shd w:fill="fffffe" w:val="clear"/>
        <w:spacing w:line="324.00000000000006" w:lineRule="auto"/>
        <w:rPr>
          <w:rFonts w:ascii="Montserrat" w:cs="Montserrat" w:eastAsia="Montserrat" w:hAnsi="Montserrat"/>
          <w:sz w:val="24"/>
          <w:szCs w:val="24"/>
          <w:shd w:fill="f8f8f8" w:val="clea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https://www.tradingview.com/x/fwrQTnhw/</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TradingView’den</w:t>
      </w:r>
    </w:p>
    <w:p w:rsidR="00000000" w:rsidDel="00000000" w:rsidP="00000000" w:rsidRDefault="00000000" w:rsidRPr="00000000" w14:paraId="00000026">
      <w:pPr>
        <w:rPr>
          <w:rFonts w:ascii="Montserrat" w:cs="Montserrat" w:eastAsia="Montserrat" w:hAnsi="Montserrat"/>
          <w:sz w:val="24"/>
          <w:szCs w:val="24"/>
        </w:rPr>
      </w:pPr>
      <w:hyperlink r:id="rId9">
        <w:r w:rsidDel="00000000" w:rsidR="00000000" w:rsidRPr="00000000">
          <w:rPr>
            <w:rFonts w:ascii="Montserrat" w:cs="Montserrat" w:eastAsia="Montserrat" w:hAnsi="Montserrat"/>
            <w:color w:val="1155cc"/>
            <w:sz w:val="24"/>
            <w:szCs w:val="24"/>
            <w:highlight w:val="white"/>
            <w:u w:val="single"/>
            <w:rtl w:val="0"/>
          </w:rPr>
          <w:t xml:space="preserve">ASELS</w:t>
        </w:r>
      </w:hyperlink>
      <w:r w:rsidDel="00000000" w:rsidR="00000000" w:rsidRPr="00000000">
        <w:rPr>
          <w:rFonts w:ascii="Montserrat" w:cs="Montserrat" w:eastAsia="Montserrat" w:hAnsi="Montserrat"/>
          <w:sz w:val="24"/>
          <w:szCs w:val="24"/>
          <w:rtl w:val="0"/>
        </w:rPr>
        <w:t xml:space="preserve"> öğlene doğru 31.8 fiyatıyla çizgisini (%-1.7305) aşağı yönde kırdı. Müthiş Osilatör 0.5975 grafikte çizgisine devam etmektedir. </w:t>
      </w:r>
    </w:p>
    <w:p w:rsidR="00000000" w:rsidDel="00000000" w:rsidP="00000000" w:rsidRDefault="00000000" w:rsidRPr="00000000" w14:paraId="0000002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Emtia indikatörü -18.4359 noktasından rotasında ilerlemektedir.</w:t>
      </w:r>
    </w:p>
    <w:p w:rsidR="00000000" w:rsidDel="00000000" w:rsidP="00000000" w:rsidRDefault="00000000" w:rsidRPr="00000000" w14:paraId="0000002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İvme 0.66 noktasında anlamlı bir yükselişe ve olumlu direnç kanalı kırılımlarına katkıda bulunuyor. </w:t>
      </w:r>
    </w:p>
    <w:p w:rsidR="00000000" w:rsidDel="00000000" w:rsidP="00000000" w:rsidRDefault="00000000" w:rsidRPr="00000000" w14:paraId="0000002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Son 10 günlük Basit Hareketli Ortalama 32.446 levelinde istenen düzeydedir.</w:t>
      </w:r>
    </w:p>
    <w:p w:rsidR="00000000" w:rsidDel="00000000" w:rsidP="00000000" w:rsidRDefault="00000000" w:rsidRPr="00000000" w14:paraId="0000002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Volatilite beklenmedik şekilde arttı (1.761).</w:t>
      </w:r>
    </w:p>
    <w:p w:rsidR="00000000" w:rsidDel="00000000" w:rsidP="00000000" w:rsidRDefault="00000000" w:rsidRPr="00000000" w14:paraId="0000002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Göreceli hacmi, (ideal olan 3.5 ve üstü) 0.2078 puanlamasında görmekteyiz.</w:t>
      </w:r>
    </w:p>
    <w:p w:rsidR="00000000" w:rsidDel="00000000" w:rsidP="00000000" w:rsidRDefault="00000000" w:rsidRPr="00000000" w14:paraId="0000002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Üstel hareketli ortalama (EMA50) bir kaybı temsil ediyor (30.0957).</w:t>
      </w:r>
    </w:p>
    <w:p w:rsidR="00000000" w:rsidDel="00000000" w:rsidP="00000000" w:rsidRDefault="00000000" w:rsidRPr="00000000" w14:paraId="0000003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sz w:val="24"/>
          <w:szCs w:val="24"/>
          <w:shd w:fill="f8f8f8" w:val="clear"/>
        </w:rPr>
      </w:pPr>
      <w:r w:rsidDel="00000000" w:rsidR="00000000" w:rsidRPr="00000000">
        <w:rPr>
          <w:rFonts w:ascii="Montserrat" w:cs="Montserrat" w:eastAsia="Montserrat" w:hAnsi="Montserrat"/>
          <w:sz w:val="24"/>
          <w:szCs w:val="24"/>
          <w:rtl w:val="0"/>
        </w:rPr>
        <w:t xml:space="preserve">Destek noktaları (30.2735 &amp; 30.2667) pivot tarafında takip edilmektedir.</w:t>
      </w:r>
      <w:r w:rsidDel="00000000" w:rsidR="00000000" w:rsidRPr="00000000">
        <w:rPr>
          <w:rtl w:val="0"/>
        </w:rPr>
      </w:r>
    </w:p>
    <w:p w:rsidR="00000000" w:rsidDel="00000000" w:rsidP="00000000" w:rsidRDefault="00000000" w:rsidRPr="00000000" w14:paraId="00000033">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4">
      <w:pPr>
        <w:rPr>
          <w:color w:val="333333"/>
          <w:sz w:val="23"/>
          <w:szCs w:val="23"/>
          <w:highlight w:val="white"/>
        </w:rPr>
      </w:pPr>
      <w:r w:rsidDel="00000000" w:rsidR="00000000" w:rsidRPr="00000000">
        <w:rPr>
          <w:rFonts w:ascii="Montserrat" w:cs="Montserrat" w:eastAsia="Montserrat" w:hAnsi="Montserrat"/>
          <w:sz w:val="24"/>
          <w:szCs w:val="24"/>
          <w:highlight w:val="white"/>
          <w:rtl w:val="0"/>
        </w:rPr>
        <w:t xml:space="preserve">Sonuç itibariyle, Almanya ve İtalya’dan gelecek haberlerin olumsuz olabileceğini önceki yazılarımızda paylaşmıştık. Avrupa buhranda ve Türk yüzyılı konuşulmaya başlandı. Cumhuriyetimizin 100. yılında hem ülkemiz hem de dünyamız açısından büyük gelişmeler olabilir. 2023, muhtemelen 1453 İstanbul’un Türk diyarı olması gibi bir dönüm noktası olacaktır. İçte ve dışta teyakkuzda olmalı ve uluslararası arenada yalan haberlere taviz vermemeliyiz.</w:t>
      </w:r>
      <w:r w:rsidDel="00000000" w:rsidR="00000000" w:rsidRPr="00000000">
        <w:rPr>
          <w:rtl w:val="0"/>
        </w:rPr>
      </w:r>
    </w:p>
    <w:p w:rsidR="00000000" w:rsidDel="00000000" w:rsidP="00000000" w:rsidRDefault="00000000" w:rsidRPr="00000000" w14:paraId="00000035">
      <w:pPr>
        <w:rPr>
          <w:color w:val="333333"/>
          <w:sz w:val="23"/>
          <w:szCs w:val="23"/>
          <w:highlight w:val="white"/>
        </w:rPr>
      </w:pPr>
      <w:r w:rsidDel="00000000" w:rsidR="00000000" w:rsidRPr="00000000">
        <w:rPr>
          <w:rtl w:val="0"/>
        </w:rPr>
      </w:r>
    </w:p>
    <w:p w:rsidR="00000000" w:rsidDel="00000000" w:rsidP="00000000" w:rsidRDefault="00000000" w:rsidRPr="00000000" w14:paraId="00000036">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1"/>
      <w:keepLines w:val="1"/>
      <w:pageBreakBefore w:val="0"/>
      <w:shd w:fill="fffffe" w:val="clear"/>
      <w:spacing w:line="324.00000000000006" w:lineRule="auto"/>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tr.tradingview.com/symbols/asels" TargetMode="External"/><Relationship Id="rId5" Type="http://schemas.openxmlformats.org/officeDocument/2006/relationships/styles" Target="styles.xml"/><Relationship Id="rId6" Type="http://schemas.openxmlformats.org/officeDocument/2006/relationships/hyperlink" Target="https://www.tradingview.com/symbols/NASDAQ-TSLA/" TargetMode="External"/><Relationship Id="rId7" Type="http://schemas.openxmlformats.org/officeDocument/2006/relationships/hyperlink" Target="https://tr.tradingview.com/symbols/XU100" TargetMode="External"/><Relationship Id="rId8" Type="http://schemas.openxmlformats.org/officeDocument/2006/relationships/hyperlink" Target="https://tr.tradingview.com/symbols/DOHO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