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Dolar Endeksi, Dolar TL, ASELS: Tarım ve Türkiye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Tarımda gelecek yıl için 133 milyar 682 milyon 205 bin lira aktarılacak. Böylece tarıma ayrılan bütçe, 2022’ye göre yüzde 33,7 artırıldı. Bir önceki bütçe döneminde 2022 yılı için Bakanlığa 64,6 milyar lira ayrılmış ancak bu tutar ek bütçeyle yaklaşık 100 milyar liraya yükseltilmişti.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Blokzincir İstanbul’ programında konuşan Cumhurbaşkanı Recep Tayyip Erdoğan, “Türkiye Yüzyılı’nın hazırlıklarını yaparken bu potansiyeli gözardı edemeyeceğimiz açıktır. Blokzincir kullanan ülkelerden olmak istiyoruz” dedi.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TSLA</w:t>
        </w:r>
      </w:hyperlink>
      <w:r w:rsidDel="00000000" w:rsidR="00000000" w:rsidRPr="00000000">
        <w:rPr>
          <w:rFonts w:ascii="Times New Roman" w:cs="Times New Roman" w:eastAsia="Times New Roman" w:hAnsi="Times New Roman"/>
          <w:sz w:val="24"/>
          <w:szCs w:val="24"/>
          <w:rtl w:val="0"/>
        </w:rPr>
        <w:t xml:space="preserve"> grafiği, yüzde 3.45 ile 214$ fiyatında ilerlemektedir. Bu ayın başlarında Tesla hisselerin %8'den fazla düştüğünü belirtmiştim. Hatırlayacağınız üzere Tesla, analistlerin 364.660 olan beklentilerini ıskalayan 343.000 toplam teslimat bildirmişti.</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https://www.tradingview.com/x/XRn3UPb0/</w:t>
      </w:r>
    </w:p>
    <w:p w:rsidR="00000000" w:rsidDel="00000000" w:rsidP="00000000" w:rsidRDefault="00000000" w:rsidRPr="00000000" w14:paraId="0000000C">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0D">
      <w:pPr>
        <w:rPr>
          <w:sz w:val="24"/>
          <w:szCs w:val="24"/>
          <w:highlight w:val="white"/>
        </w:rPr>
      </w:pPr>
      <w:hyperlink r:id="rId7">
        <w:r w:rsidDel="00000000" w:rsidR="00000000" w:rsidRPr="00000000">
          <w:rPr>
            <w:color w:val="1155cc"/>
            <w:sz w:val="24"/>
            <w:szCs w:val="24"/>
            <w:highlight w:val="white"/>
            <w:u w:val="single"/>
            <w:rtl w:val="0"/>
          </w:rPr>
          <w:t xml:space="preserve">Amerikan Dolar Endeksi </w:t>
        </w:r>
      </w:hyperlink>
      <w:r w:rsidDel="00000000" w:rsidR="00000000" w:rsidRPr="00000000">
        <w:rPr>
          <w:sz w:val="24"/>
          <w:szCs w:val="24"/>
          <w:highlight w:val="white"/>
          <w:rtl w:val="0"/>
        </w:rPr>
        <w:t xml:space="preserve">111 puandan gelen al sinyali derhal yerini sat sinyaline çevirdi. 111.875 sınırında bulunan ve Japon Yenini gözüne kestiren dolar, petrodolar ile gelişmiş ülkelerin yanında gelişmekte olan ülkeleri de sınıyor. Brent petrol fiyatı 91 $ olsa da petrodolara yenik düşen diğer majör paralar cari açık ve büyüme konusunda güçlük çekiyor.</w:t>
      </w: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keepNext w:val="1"/>
        <w:keepLines w:val="1"/>
        <w:shd w:fill="fffffe" w:val="clear"/>
        <w:spacing w:line="324.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https://www.tradingview.com/x/ZmShE4ku/</w:t>
      </w:r>
    </w:p>
    <w:p w:rsidR="00000000" w:rsidDel="00000000" w:rsidP="00000000" w:rsidRDefault="00000000" w:rsidRPr="00000000" w14:paraId="00000014">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15">
      <w:pPr>
        <w:keepNext w:val="1"/>
        <w:keepLines w:val="1"/>
        <w:shd w:fill="fffffe" w:val="clear"/>
        <w:spacing w:line="324.00000000000006" w:lineRule="auto"/>
        <w:rPr>
          <w:rFonts w:ascii="Montserrat" w:cs="Montserrat" w:eastAsia="Montserrat" w:hAnsi="Montserrat"/>
          <w:sz w:val="24"/>
          <w:szCs w:val="24"/>
          <w:highlight w:val="white"/>
        </w:rPr>
      </w:pPr>
      <w:hyperlink r:id="rId8">
        <w:r w:rsidDel="00000000" w:rsidR="00000000" w:rsidRPr="00000000">
          <w:rPr>
            <w:rFonts w:ascii="Montserrat" w:cs="Montserrat" w:eastAsia="Montserrat" w:hAnsi="Montserrat"/>
            <w:color w:val="1155cc"/>
            <w:sz w:val="24"/>
            <w:szCs w:val="24"/>
            <w:highlight w:val="white"/>
            <w:u w:val="single"/>
            <w:rtl w:val="0"/>
          </w:rPr>
          <w:t xml:space="preserve">USDTRY</w:t>
        </w:r>
      </w:hyperlink>
      <w:r w:rsidDel="00000000" w:rsidR="00000000" w:rsidRPr="00000000">
        <w:rPr>
          <w:rFonts w:ascii="Montserrat" w:cs="Montserrat" w:eastAsia="Montserrat" w:hAnsi="Montserrat"/>
          <w:sz w:val="24"/>
          <w:szCs w:val="24"/>
          <w:highlight w:val="white"/>
          <w:rtl w:val="0"/>
        </w:rPr>
        <w:t xml:space="preserve"> yüzde 0.0452 bir getiriyi 18.5884 fiyatıyla ekledi. Müthiş Osilatör, 0.0027 puanı ile grafiğe anlamlı farklılık katıyor. Gerçek aralık ortalaması 0.0718 ile sıfırın üzerindedir.</w:t>
      </w:r>
    </w:p>
    <w:p w:rsidR="00000000" w:rsidDel="00000000" w:rsidP="00000000" w:rsidRDefault="00000000" w:rsidRPr="00000000" w14:paraId="00000016">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7">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Emtia Kanal Endeksi 18.0718 göreceli olarak olumlu bir yöndedir.</w:t>
      </w:r>
    </w:p>
    <w:p w:rsidR="00000000" w:rsidDel="00000000" w:rsidP="00000000" w:rsidRDefault="00000000" w:rsidRPr="00000000" w14:paraId="00000018">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9">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Momentumun 0.0066 ile olumlama ile ilerlediği görülmektedir. Volatilite şu an için yüksek (0.4969).</w:t>
      </w:r>
    </w:p>
    <w:p w:rsidR="00000000" w:rsidDel="00000000" w:rsidP="00000000" w:rsidRDefault="00000000" w:rsidRPr="00000000" w14:paraId="0000001A">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B">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Üstel Hareketli Ortalamanın (EMA50) kayıpta olduğu görülebilir (18.5741).</w:t>
      </w:r>
    </w:p>
    <w:p w:rsidR="00000000" w:rsidDel="00000000" w:rsidP="00000000" w:rsidRDefault="00000000" w:rsidRPr="00000000" w14:paraId="0000001C">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D">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18.5704 &amp; 18.3943, trend çizgisi içinde destek noktaları olarak kabul edilebilir.</w:t>
      </w:r>
    </w:p>
    <w:p w:rsidR="00000000" w:rsidDel="00000000" w:rsidP="00000000" w:rsidRDefault="00000000" w:rsidRPr="00000000" w14:paraId="0000001E">
      <w:pPr>
        <w:keepNext w:val="1"/>
        <w:keepLines w:val="1"/>
        <w:shd w:fill="fffffe" w:val="clear"/>
        <w:spacing w:line="324.0000000000000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F">
      <w:pPr>
        <w:keepNext w:val="1"/>
        <w:keepLines w:val="1"/>
        <w:shd w:fill="fffffe" w:val="clear"/>
        <w:spacing w:line="324.00000000000006" w:lineRule="auto"/>
        <w:rPr>
          <w:rFonts w:ascii="Montserrat" w:cs="Montserrat" w:eastAsia="Montserrat" w:hAnsi="Montserrat"/>
          <w:sz w:val="24"/>
          <w:szCs w:val="24"/>
          <w:shd w:fill="f8f8f8" w:val="clear"/>
        </w:rPr>
      </w:pPr>
      <w:r w:rsidDel="00000000" w:rsidR="00000000" w:rsidRPr="00000000">
        <w:rPr>
          <w:rtl w:val="0"/>
        </w:rPr>
      </w:r>
    </w:p>
    <w:p w:rsidR="00000000" w:rsidDel="00000000" w:rsidP="00000000" w:rsidRDefault="00000000" w:rsidRPr="00000000" w14:paraId="00000020">
      <w:pPr>
        <w:keepNext w:val="1"/>
        <w:keepLines w:val="1"/>
        <w:shd w:fill="fffffe" w:val="clear"/>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https://www.tradingview.com/x/mt4FV0HN/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TradingView’den</w:t>
      </w:r>
    </w:p>
    <w:p w:rsidR="00000000" w:rsidDel="00000000" w:rsidP="00000000" w:rsidRDefault="00000000" w:rsidRPr="00000000" w14:paraId="00000024">
      <w:pPr>
        <w:rPr>
          <w:rFonts w:ascii="Montserrat" w:cs="Montserrat" w:eastAsia="Montserrat" w:hAnsi="Montserrat"/>
          <w:sz w:val="24"/>
          <w:szCs w:val="24"/>
        </w:rPr>
      </w:pPr>
      <w:hyperlink r:id="rId9">
        <w:r w:rsidDel="00000000" w:rsidR="00000000" w:rsidRPr="00000000">
          <w:rPr>
            <w:rFonts w:ascii="Montserrat" w:cs="Montserrat" w:eastAsia="Montserrat" w:hAnsi="Montserrat"/>
            <w:color w:val="1155cc"/>
            <w:sz w:val="24"/>
            <w:szCs w:val="24"/>
            <w:highlight w:val="white"/>
            <w:u w:val="single"/>
            <w:rtl w:val="0"/>
          </w:rPr>
          <w:t xml:space="preserve">Aselsan hisse grafik</w:t>
        </w:r>
      </w:hyperlink>
      <w:r w:rsidDel="00000000" w:rsidR="00000000" w:rsidRPr="00000000">
        <w:rPr>
          <w:rFonts w:ascii="Montserrat" w:cs="Montserrat" w:eastAsia="Montserrat" w:hAnsi="Montserrat"/>
          <w:sz w:val="24"/>
          <w:szCs w:val="24"/>
          <w:rtl w:val="0"/>
        </w:rPr>
        <w:t xml:space="preserve"> üzerinde, 31.84 ile (%-2.091) yüzdesel kaybını görmekteyiz. Müthiş Osilatörden 1.4918 pozitif bir gelecek alınıyor. Gerçek aralığın ortalaması 1.3923 gayet doğal bir çizgide ilerliyor.</w:t>
      </w:r>
    </w:p>
    <w:p w:rsidR="00000000" w:rsidDel="00000000" w:rsidP="00000000" w:rsidRDefault="00000000" w:rsidRPr="00000000" w14:paraId="0000002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Emtia Kanal Endeksi, 43.9014 sağlam bir metriktedir.</w:t>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ASELS en son sağlam bir momentum (0.36) ile grafiğe şekil veriyor. ASELS ortalama reytingini yükseltebilir.</w:t>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Beklenmedik şekilde volatilite arttı (2.3241).</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Göreceli hacim metriğinin (2 üstü iyi) 0.6433 olduğuna tanıklık ediyoruz.</w:t>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Fiyat bandının kümelenmiş versiyonunu yansıtan üstel hareketli ortalama (EMA50) bir kayıp gösteriyor (29.6222).</w:t>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Destek noktaları (30.2735 &amp; 30.2667) pivot tarafında takip edilmektedir.</w:t>
      </w:r>
    </w:p>
    <w:p w:rsidR="00000000" w:rsidDel="00000000" w:rsidP="00000000" w:rsidRDefault="00000000" w:rsidRPr="00000000" w14:paraId="00000031">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2">
      <w:pPr>
        <w:rPr>
          <w:color w:val="333333"/>
          <w:sz w:val="23"/>
          <w:szCs w:val="23"/>
          <w:highlight w:val="white"/>
        </w:rPr>
      </w:pPr>
      <w:r w:rsidDel="00000000" w:rsidR="00000000" w:rsidRPr="00000000">
        <w:rPr>
          <w:rFonts w:ascii="Montserrat" w:cs="Montserrat" w:eastAsia="Montserrat" w:hAnsi="Montserrat"/>
          <w:sz w:val="24"/>
          <w:szCs w:val="24"/>
          <w:highlight w:val="white"/>
          <w:rtl w:val="0"/>
        </w:rPr>
        <w:t xml:space="preserve">Sonuç itibariyle, Türkiye tarım alanları zengindir. Fakat Hollanda ile kıyaslandığında tarımda metodolojik olarak büyük yanlışlarımız var. Hollanda, geçen yıl gerçekleştirdiği 116 milyar dolarlık tarımsal ürün ihracatı ile ikinci sırada gelirken Türkiye 19.4 milyar dolarla 23. sırada yer aldı. 41 bin kilometrekarelik yüzölçümüyle Konya'dan çok az daha büyük Hollanda, Türkiye'ye her sene ders veriyor fakat biz ders almıyoruz. Acilen tarım metotlarımızı geliştirmemiz gerekmektedir. Tarıma ayrılan bütçemiz dolar bazında çok da artış göstermedi.</w:t>
      </w:r>
      <w:r w:rsidDel="00000000" w:rsidR="00000000" w:rsidRPr="00000000">
        <w:rPr>
          <w:rtl w:val="0"/>
        </w:rPr>
      </w:r>
    </w:p>
    <w:p w:rsidR="00000000" w:rsidDel="00000000" w:rsidP="00000000" w:rsidRDefault="00000000" w:rsidRPr="00000000" w14:paraId="00000033">
      <w:pPr>
        <w:rPr>
          <w:color w:val="333333"/>
          <w:sz w:val="23"/>
          <w:szCs w:val="23"/>
          <w:highlight w:val="white"/>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1"/>
      <w:keepLines w:val="1"/>
      <w:pageBreakBefore w:val="0"/>
      <w:shd w:fill="fffffe" w:val="clear"/>
      <w:spacing w:line="324.00000000000006"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tradingview.com/symbols/asels" TargetMode="External"/><Relationship Id="rId5" Type="http://schemas.openxmlformats.org/officeDocument/2006/relationships/styles" Target="styles.xml"/><Relationship Id="rId6" Type="http://schemas.openxmlformats.org/officeDocument/2006/relationships/hyperlink" Target="https://www.tradingview.com/symbols/NASDAQ-TSLA/" TargetMode="External"/><Relationship Id="rId7" Type="http://schemas.openxmlformats.org/officeDocument/2006/relationships/hyperlink" Target="https://tr.tradingview.com/symbols/dxy" TargetMode="External"/><Relationship Id="rId8" Type="http://schemas.openxmlformats.org/officeDocument/2006/relationships/hyperlink" Target="https://tr.tradingview.com/symbols/usd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