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EREGL, SISE, TUPRS: Tahıl Koridoru Tekrar Aktif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Cumhurbaşkanı Erdoğan, BM Genel Sekreteri Antonio Guterres ile telefon görüşmesi yaptı.  Cumhurbaşkanlığı İletişim Başkanlığı'ndan yapılan açıklamaya göre, görüşmede Rusya-Ukrayna savaşı ve tahıl koridoru ile ilgili gelişmeler ele alındı. Cumhurbaşkanı Erdoğan tahıl koridorunun tekrar açılması konusunda Sn Putin’i tekrar ikna etti.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Cumhurbaşkanlığı Sözcüsü Kalın Türkiye'ye F-16 satışı konusunda kesin bir tahminde bulunmak kolay değil ama bu sürecin bir iki ay içinde tamamlanması muhtemel görünüyor.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Dışişleri Bakanı Çavuşoğlu: Finlandiya ve İsveç makamları Üçlü Mutabakat'a bağlılıklarını ifade ettiler. “Teröre PKK’ya DAEŞ’e” destek yok sözü tekrar alında. Gerçekten önemli olan, muhtıradaki unsurların somut olarak uygulanmasıdır.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207$ grafiğinde eksi 3.69 ile kapandı. Elon Musk’ın Twitter'ı işten çıkarmalara başlamayı planladığı bildiriliyor.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https://www.tradingview.com/x/jlizQPMU/</w:t>
      </w:r>
    </w:p>
    <w:p w:rsidR="00000000" w:rsidDel="00000000" w:rsidP="00000000" w:rsidRDefault="00000000" w:rsidRPr="00000000" w14:paraId="0000000E">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F">
      <w:pPr>
        <w:rPr>
          <w:sz w:val="24"/>
          <w:szCs w:val="24"/>
          <w:highlight w:val="white"/>
        </w:rPr>
      </w:pPr>
      <w:hyperlink r:id="rId7">
        <w:r w:rsidDel="00000000" w:rsidR="00000000" w:rsidRPr="00000000">
          <w:rPr>
            <w:color w:val="1155cc"/>
            <w:sz w:val="24"/>
            <w:szCs w:val="24"/>
            <w:highlight w:val="white"/>
            <w:u w:val="single"/>
            <w:rtl w:val="0"/>
          </w:rPr>
          <w:t xml:space="preserve">TUPRS</w:t>
        </w:r>
      </w:hyperlink>
      <w:r w:rsidDel="00000000" w:rsidR="00000000" w:rsidRPr="00000000">
        <w:rPr>
          <w:sz w:val="24"/>
          <w:szCs w:val="24"/>
          <w:highlight w:val="white"/>
          <w:rtl w:val="0"/>
        </w:rPr>
        <w:t xml:space="preserve"> varlığı, % 5.0798 yüzdeliğiyle 428.2 'den son fiyatını göstermektedir. Müthiş Osilatör, 50.3756 puanı ile grafiğe anlamlı farklılık katıyor. Gerçek aralığın ortalamasının 14.7848 istenen çizgide olduğu savunulabilir.</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Emtia Kanal Endeksi, 200.594 sağlam bir metriktedir. Göreceli hacmin, 1.3986 görüntüsünde olduğu kanıksanıyor ve 2'den az, iyi değil denebilir.</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Üstel hareketli ortalama (EMA50) bir kaybı temsil ediyor (345.931).</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Destek noktalarının 387.4883 &amp; 354.2667 oldukları söylenebilir.</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keepNext w:val="1"/>
        <w:keepLines w:val="1"/>
        <w:shd w:fill="fffffe" w:val="clear"/>
        <w:spacing w:line="324.00000000000006" w:lineRule="auto"/>
        <w:rPr>
          <w:rFonts w:ascii="Times New Roman" w:cs="Times New Roman" w:eastAsia="Times New Roman" w:hAnsi="Times New Roman"/>
          <w:sz w:val="24"/>
          <w:szCs w:val="24"/>
          <w:shd w:fill="1e222d" w:val="clear"/>
        </w:rPr>
      </w:pPr>
      <w:r w:rsidDel="00000000" w:rsidR="00000000" w:rsidRPr="00000000">
        <w:rPr>
          <w:rtl w:val="0"/>
        </w:rPr>
      </w:r>
    </w:p>
    <w:p w:rsidR="00000000" w:rsidDel="00000000" w:rsidP="00000000" w:rsidRDefault="00000000" w:rsidRPr="00000000" w14:paraId="00000018">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https://www.tradingview.com/x/xsjhqIES/</w:t>
      </w:r>
    </w:p>
    <w:p w:rsidR="00000000" w:rsidDel="00000000" w:rsidP="00000000" w:rsidRDefault="00000000" w:rsidRPr="00000000" w14:paraId="0000001A">
      <w:pPr>
        <w:keepNext w:val="1"/>
        <w:keepLines w:val="1"/>
        <w:shd w:fill="fffffe" w:val="clear"/>
        <w:spacing w:line="324.00000000000006" w:lineRule="auto"/>
        <w:rPr>
          <w:rFonts w:ascii="Times New Roman" w:cs="Times New Roman" w:eastAsia="Times New Roman" w:hAnsi="Times New Roman"/>
          <w:sz w:val="24"/>
          <w:szCs w:val="24"/>
          <w:shd w:fill="1e222d" w:val="clear"/>
        </w:rPr>
      </w:pPr>
      <w:r w:rsidDel="00000000" w:rsidR="00000000" w:rsidRPr="00000000">
        <w:rPr>
          <w:rFonts w:ascii="Times New Roman" w:cs="Times New Roman" w:eastAsia="Times New Roman" w:hAnsi="Times New Roman"/>
          <w:sz w:val="24"/>
          <w:szCs w:val="24"/>
          <w:rtl w:val="0"/>
        </w:rPr>
        <w:t xml:space="preserve">Grafik TradingView’den</w:t>
      </w:r>
      <w:r w:rsidDel="00000000" w:rsidR="00000000" w:rsidRPr="00000000">
        <w:rPr>
          <w:rtl w:val="0"/>
        </w:rPr>
      </w:r>
    </w:p>
    <w:p w:rsidR="00000000" w:rsidDel="00000000" w:rsidP="00000000" w:rsidRDefault="00000000" w:rsidRPr="00000000" w14:paraId="0000001B">
      <w:pPr>
        <w:rPr>
          <w:sz w:val="24"/>
          <w:szCs w:val="24"/>
          <w:highlight w:val="white"/>
        </w:rPr>
      </w:pPr>
      <w:hyperlink r:id="rId8">
        <w:r w:rsidDel="00000000" w:rsidR="00000000" w:rsidRPr="00000000">
          <w:rPr>
            <w:color w:val="1155cc"/>
            <w:sz w:val="24"/>
            <w:szCs w:val="24"/>
            <w:highlight w:val="white"/>
            <w:u w:val="single"/>
            <w:rtl w:val="0"/>
          </w:rPr>
          <w:t xml:space="preserve">EREGL</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%9.9736 boyutunda değişimsel hareket etti. (Son fiyat: 33.3) Müthiş Osilatör, 0.3597 bandı artıda muhtemel sürdürülebilir bir çerçevededir. Gerçek aralık ortalaması 1.0891 artıda hareket ediyor.</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Emtia Kanal Endeksi 378.1694 göreceli olarak olumlu bir yöndedir.</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Göreceli hacmi, (ideal olan 3.5 ve üstü) 2.7139 puanlamasında görmekteyiz. Üstel hareketli ortalama (EMA50) bir kaybı ifade ediyor (30.0564).</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Destek noktaları (30.16 &amp; 29.9512) pivot tarafında takip edilmektedir.</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https://www.tradingview.com/x/KYI8zPo2/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7">
      <w:pPr>
        <w:rPr>
          <w:sz w:val="24"/>
          <w:szCs w:val="24"/>
          <w:highlight w:val="white"/>
        </w:rPr>
      </w:pPr>
      <w:hyperlink r:id="rId9">
        <w:r w:rsidDel="00000000" w:rsidR="00000000" w:rsidRPr="00000000">
          <w:rPr>
            <w:color w:val="1155cc"/>
            <w:sz w:val="24"/>
            <w:szCs w:val="24"/>
            <w:highlight w:val="white"/>
            <w:u w:val="single"/>
            <w:rtl w:val="0"/>
          </w:rPr>
          <w:t xml:space="preserve">SISE</w:t>
        </w:r>
      </w:hyperlink>
      <w:r w:rsidDel="00000000" w:rsidR="00000000" w:rsidRPr="00000000">
        <w:rPr>
          <w:sz w:val="24"/>
          <w:szCs w:val="24"/>
          <w:highlight w:val="white"/>
          <w:rtl w:val="0"/>
        </w:rPr>
        <w:t xml:space="preserve"> için 2.1251 yüzdelik diliminin fiyata (33.64) eklendiğini görüyoruz. Müthiş Osilatör, 3.3425 puanı ile grafiğe anlamlı farklılık katıyor. Gerçek aralığın ortalamasının 1.1145 istenen çizgide olduğu savunulabilir.</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Emtia Kanal Endeksi 82.1629 göreceli olarak olumlu bir yöndedir.</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SISE, 1.64 ile grafikte pozitif ilerleme sağlıyor. SISE ortalama reytingini yükseltebilir ve RSI 67.331 olarak pozitif olarak ilerlemektedir.</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Göreceli hacmi, (ideal olan 3.5 ve üstü) 1.0582 puanlamasında görmekteyiz. Üstel hareketli ortalama (EMA50) bir kaybı ifade ediyor (29.1136).</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Destek noktaları 31.5993 &amp; 30.9933 önünde desteklenir.</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olumlu haberler de var. Öğrenci kredisi borçluları, mezun olduktan 2 yıl sonra borçlandıkları miktara kadar borçlarını geri ödemeye başlayacaklar. Bankacılıkta yetkilendirme BDDK’ya geçiyor. TBMM tarafından kabul edilen Gelir Vergisi Kanunu ile Bazı Kanun ve Kanun Hükmünde Kararnamelerde Değişiklik Yapılmasına Dair Kanuna göre, Bankacılık Düzenleme ve Denetleme Kurulu bir banka veya bir grup bankaya faaliyet izni vermeye yetkili olacaktır. Bankalara faaliyet alanları bazında sınırlamalar veya kısıtlamalar getirebilecek. Bununla birlikte tahıl koridorunun tekrar açılması gıda fiyatlarını karaborsaya düşürmekten de koruyabilir.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SISE"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TUPRS" TargetMode="External"/><Relationship Id="rId8" Type="http://schemas.openxmlformats.org/officeDocument/2006/relationships/hyperlink" Target="https://tr.tradingview.com/symbols/ERE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