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FROTO, VESBE, ZOREN: İkinci Togg'un talibi</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Bakan Nebati, Togg'un ikincisine talip olduğuna işaret ederek, "Sayın Varank'a buradan da çağrım var. Çünkü bu aracın temeline gelirken de aynı talepte bulunmuştum. Bu aracın ikincisini istiyorum diye heyecana kapılan birisi olarak istemiştim." dedi.</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Bakalım Togg ile FROTO ve TOASO yükselişe devam edecek mi? Tabi ki her ürünün bir değeri ve talibi vardır. TSLA görece olarak yeni olmasına rağmen çok köklü Volkswagen, Bmw, Ford, Fiat gibi markalarla rekabet edebilmişti. Elektrikli araçlar yeni bir sektör ve bunu avantaj olarak kullanabiliriz.</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TSLA</w:t>
        </w:r>
      </w:hyperlink>
      <w:r w:rsidDel="00000000" w:rsidR="00000000" w:rsidRPr="00000000">
        <w:rPr>
          <w:rFonts w:ascii="Times New Roman" w:cs="Times New Roman" w:eastAsia="Times New Roman" w:hAnsi="Times New Roman"/>
          <w:sz w:val="24"/>
          <w:szCs w:val="24"/>
          <w:rtl w:val="0"/>
        </w:rPr>
        <w:t xml:space="preserve"> grafiği, yüzde 1.52 ile USD 228.52 fiyatında ilerlemektedir.</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https://www.tradingview.com/x/UB11NwgN/</w:t>
      </w:r>
    </w:p>
    <w:p w:rsidR="00000000" w:rsidDel="00000000" w:rsidP="00000000" w:rsidRDefault="00000000" w:rsidRPr="00000000" w14:paraId="0000000C">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Grafik TradingView’den</w:t>
      </w:r>
    </w:p>
    <w:p w:rsidR="00000000" w:rsidDel="00000000" w:rsidP="00000000" w:rsidRDefault="00000000" w:rsidRPr="00000000" w14:paraId="0000000D">
      <w:pPr>
        <w:rPr>
          <w:sz w:val="24"/>
          <w:szCs w:val="24"/>
          <w:highlight w:val="white"/>
        </w:rPr>
      </w:pPr>
      <w:hyperlink r:id="rId7">
        <w:r w:rsidDel="00000000" w:rsidR="00000000" w:rsidRPr="00000000">
          <w:rPr>
            <w:color w:val="1155cc"/>
            <w:sz w:val="24"/>
            <w:szCs w:val="24"/>
            <w:highlight w:val="white"/>
            <w:u w:val="single"/>
            <w:rtl w:val="0"/>
          </w:rPr>
          <w:t xml:space="preserve">FROTO</w:t>
        </w:r>
      </w:hyperlink>
      <w:r w:rsidDel="00000000" w:rsidR="00000000" w:rsidRPr="00000000">
        <w:rPr>
          <w:sz w:val="24"/>
          <w:szCs w:val="24"/>
          <w:highlight w:val="white"/>
          <w:rtl w:val="0"/>
        </w:rPr>
        <w:t xml:space="preserve"> beklentinin aksinde -1.0535 yüzdesiyle 356.9 fiyatıyla devam etmektedir. Müthiş Osilatör, 17.1097 metriğinde olumlu olarak ilerlemektedir. Gerçek aralığın ortalaması 12.1751 anlamlı bir düzeyde bulunmaktadır.</w:t>
      </w:r>
    </w:p>
    <w:p w:rsidR="00000000" w:rsidDel="00000000" w:rsidP="00000000" w:rsidRDefault="00000000" w:rsidRPr="00000000" w14:paraId="0000000E">
      <w:pPr>
        <w:rPr>
          <w:sz w:val="24"/>
          <w:szCs w:val="24"/>
          <w:highlight w:val="white"/>
        </w:rPr>
      </w:pPr>
      <w:r w:rsidDel="00000000" w:rsidR="00000000" w:rsidRPr="00000000">
        <w:rPr>
          <w:rtl w:val="0"/>
        </w:rPr>
      </w:r>
    </w:p>
    <w:p w:rsidR="00000000" w:rsidDel="00000000" w:rsidP="00000000" w:rsidRDefault="00000000" w:rsidRPr="00000000" w14:paraId="0000000F">
      <w:pPr>
        <w:rPr>
          <w:sz w:val="24"/>
          <w:szCs w:val="24"/>
          <w:highlight w:val="white"/>
        </w:rPr>
      </w:pPr>
      <w:r w:rsidDel="00000000" w:rsidR="00000000" w:rsidRPr="00000000">
        <w:rPr>
          <w:sz w:val="24"/>
          <w:szCs w:val="24"/>
          <w:highlight w:val="white"/>
          <w:rtl w:val="0"/>
        </w:rPr>
        <w:t xml:space="preserve">Emtia Kanal Endeksi noktasında 18.7116 pozitif bir duruş görmekteyiz.</w:t>
      </w:r>
    </w:p>
    <w:p w:rsidR="00000000" w:rsidDel="00000000" w:rsidP="00000000" w:rsidRDefault="00000000" w:rsidRPr="00000000" w14:paraId="00000010">
      <w:pPr>
        <w:rPr>
          <w:sz w:val="24"/>
          <w:szCs w:val="24"/>
          <w:highlight w:val="white"/>
        </w:rPr>
      </w:pPr>
      <w:r w:rsidDel="00000000" w:rsidR="00000000" w:rsidRPr="00000000">
        <w:rPr>
          <w:rtl w:val="0"/>
        </w:rPr>
      </w:r>
    </w:p>
    <w:p w:rsidR="00000000" w:rsidDel="00000000" w:rsidP="00000000" w:rsidRDefault="00000000" w:rsidRPr="00000000" w14:paraId="00000011">
      <w:pPr>
        <w:rPr>
          <w:sz w:val="24"/>
          <w:szCs w:val="24"/>
          <w:highlight w:val="white"/>
        </w:rPr>
      </w:pPr>
      <w:r w:rsidDel="00000000" w:rsidR="00000000" w:rsidRPr="00000000">
        <w:rPr>
          <w:sz w:val="24"/>
          <w:szCs w:val="24"/>
          <w:highlight w:val="white"/>
          <w:rtl w:val="0"/>
        </w:rPr>
        <w:t xml:space="preserve">FROTO stokastik D anlamında 61.3651 olumlu yönde perçinleniyor. Volatilite şu an için yüksek (1.598).</w:t>
      </w:r>
    </w:p>
    <w:p w:rsidR="00000000" w:rsidDel="00000000" w:rsidP="00000000" w:rsidRDefault="00000000" w:rsidRPr="00000000" w14:paraId="00000012">
      <w:pPr>
        <w:rPr>
          <w:sz w:val="24"/>
          <w:szCs w:val="24"/>
          <w:highlight w:val="white"/>
        </w:rPr>
      </w:pPr>
      <w:r w:rsidDel="00000000" w:rsidR="00000000" w:rsidRPr="00000000">
        <w:rPr>
          <w:rtl w:val="0"/>
        </w:rPr>
      </w:r>
    </w:p>
    <w:p w:rsidR="00000000" w:rsidDel="00000000" w:rsidP="00000000" w:rsidRDefault="00000000" w:rsidRPr="00000000" w14:paraId="00000013">
      <w:pPr>
        <w:rPr>
          <w:sz w:val="24"/>
          <w:szCs w:val="24"/>
          <w:highlight w:val="white"/>
        </w:rPr>
      </w:pPr>
      <w:r w:rsidDel="00000000" w:rsidR="00000000" w:rsidRPr="00000000">
        <w:rPr>
          <w:sz w:val="24"/>
          <w:szCs w:val="24"/>
          <w:highlight w:val="white"/>
          <w:rtl w:val="0"/>
        </w:rPr>
        <w:t xml:space="preserve">Göreceli hacim metriği, (2 üstü iyi) 0.2694 'dan seyrediyor. Üstel hareketli ortalama (EMA50) bir kaybı temsil ediyor (343.9195).</w:t>
      </w:r>
    </w:p>
    <w:p w:rsidR="00000000" w:rsidDel="00000000" w:rsidP="00000000" w:rsidRDefault="00000000" w:rsidRPr="00000000" w14:paraId="00000014">
      <w:pPr>
        <w:rPr>
          <w:sz w:val="24"/>
          <w:szCs w:val="24"/>
          <w:highlight w:val="white"/>
        </w:rPr>
      </w:pPr>
      <w:r w:rsidDel="00000000" w:rsidR="00000000" w:rsidRPr="00000000">
        <w:rPr>
          <w:rtl w:val="0"/>
        </w:rPr>
      </w:r>
    </w:p>
    <w:p w:rsidR="00000000" w:rsidDel="00000000" w:rsidP="00000000" w:rsidRDefault="00000000" w:rsidRPr="00000000" w14:paraId="00000015">
      <w:pPr>
        <w:rPr>
          <w:sz w:val="24"/>
          <w:szCs w:val="24"/>
          <w:highlight w:val="white"/>
        </w:rPr>
      </w:pPr>
      <w:r w:rsidDel="00000000" w:rsidR="00000000" w:rsidRPr="00000000">
        <w:rPr>
          <w:sz w:val="24"/>
          <w:szCs w:val="24"/>
          <w:highlight w:val="white"/>
          <w:rtl w:val="0"/>
        </w:rPr>
        <w:t xml:space="preserve">335.6667 &amp; 331.8583, trend çizgisi içinde destek noktaları olarak kabul edilebilir. Fibonacci 331 TL seviyesinde ve 4 saatlikte üstün bir performans yok.</w:t>
      </w:r>
    </w:p>
    <w:p w:rsidR="00000000" w:rsidDel="00000000" w:rsidP="00000000" w:rsidRDefault="00000000" w:rsidRPr="00000000" w14:paraId="00000016">
      <w:pPr>
        <w:rPr>
          <w:sz w:val="24"/>
          <w:szCs w:val="24"/>
          <w:highlight w:val="white"/>
        </w:rPr>
      </w:pPr>
      <w:r w:rsidDel="00000000" w:rsidR="00000000" w:rsidRPr="00000000">
        <w:rPr>
          <w:rtl w:val="0"/>
        </w:rPr>
      </w:r>
    </w:p>
    <w:p w:rsidR="00000000" w:rsidDel="00000000" w:rsidP="00000000" w:rsidRDefault="00000000" w:rsidRPr="00000000" w14:paraId="00000017">
      <w:pPr>
        <w:keepNext w:val="1"/>
        <w:keepLines w:val="1"/>
        <w:shd w:fill="fffffe" w:val="clear"/>
        <w:spacing w:line="324.0000000000000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keepNext w:val="1"/>
        <w:keepLines w:val="1"/>
        <w:shd w:fill="fffffe" w:val="clear"/>
        <w:spacing w:line="324.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https://www.tradingview.com/x/SMDNX9an/</w:t>
      </w:r>
    </w:p>
    <w:p w:rsidR="00000000" w:rsidDel="00000000" w:rsidP="00000000" w:rsidRDefault="00000000" w:rsidRPr="00000000" w14:paraId="00000019">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Grafik TradingView’den</w:t>
      </w:r>
    </w:p>
    <w:p w:rsidR="00000000" w:rsidDel="00000000" w:rsidP="00000000" w:rsidRDefault="00000000" w:rsidRPr="00000000" w14:paraId="0000001A">
      <w:pPr>
        <w:keepNext w:val="1"/>
        <w:keepLines w:val="1"/>
        <w:shd w:fill="fffffe" w:val="clear"/>
        <w:spacing w:line="324.00000000000006" w:lineRule="auto"/>
        <w:rPr>
          <w:rFonts w:ascii="Times New Roman" w:cs="Times New Roman" w:eastAsia="Times New Roman" w:hAnsi="Times New Roman"/>
          <w:sz w:val="24"/>
          <w:szCs w:val="24"/>
        </w:rPr>
      </w:pPr>
      <w:hyperlink r:id="rId8">
        <w:r w:rsidDel="00000000" w:rsidR="00000000" w:rsidRPr="00000000">
          <w:rPr>
            <w:rFonts w:ascii="Montserrat" w:cs="Montserrat" w:eastAsia="Montserrat" w:hAnsi="Montserrat"/>
            <w:color w:val="1155cc"/>
            <w:sz w:val="24"/>
            <w:szCs w:val="24"/>
            <w:highlight w:val="white"/>
            <w:u w:val="single"/>
            <w:rtl w:val="0"/>
          </w:rPr>
          <w:t xml:space="preserve">VESBE</w:t>
        </w:r>
      </w:hyperlink>
      <w:r w:rsidDel="00000000" w:rsidR="00000000" w:rsidRPr="00000000">
        <w:rPr>
          <w:rFonts w:ascii="Times New Roman" w:cs="Times New Roman" w:eastAsia="Times New Roman" w:hAnsi="Times New Roman"/>
          <w:sz w:val="24"/>
          <w:szCs w:val="24"/>
          <w:rtl w:val="0"/>
        </w:rPr>
        <w:t xml:space="preserve"> riskli ilerliyor (9.43 fiyatı ve %-1.3598 kayıpta). Müthiş Osilatör 0.205 noktasında ilerlemektedir. Gerçek aralığın ortalamasının 0.2181 istenen çizgide olduğu savunulabilir.</w:t>
      </w:r>
    </w:p>
    <w:p w:rsidR="00000000" w:rsidDel="00000000" w:rsidP="00000000" w:rsidRDefault="00000000" w:rsidRPr="00000000" w14:paraId="0000001B">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Emtia indikatörü, grafiği, -9.5941 noktasında kesmektedir. VESBE, ivme olarak (-0.09) olumsuz şekilde seansı takip ediyor. VESBE ortalama reytingini yükseltebilir ve RSI 48.9967 olarak pozitif olarak ilerlemektedir. </w:t>
      </w:r>
    </w:p>
    <w:p w:rsidR="00000000" w:rsidDel="00000000" w:rsidP="00000000" w:rsidRDefault="00000000" w:rsidRPr="00000000" w14:paraId="0000001D">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Beklenmedik şekilde volatilite arttı (1.4846). Göreceli hacim, (2 üstü olumlu) 0.2326 noktasında yer almaktadır.</w:t>
      </w:r>
    </w:p>
    <w:p w:rsidR="00000000" w:rsidDel="00000000" w:rsidP="00000000" w:rsidRDefault="00000000" w:rsidRPr="00000000" w14:paraId="0000001F">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Üstel hareketli ortalama (EMA50) bir kaybı ifade ediyor (9.3637). Destek noktaları 9.2333 &amp; 9.0845 önünde desteklenir. 9.13 Fib’i ve süpertrendin sat sinyali kritik denebilir.</w:t>
      </w:r>
    </w:p>
    <w:p w:rsidR="00000000" w:rsidDel="00000000" w:rsidP="00000000" w:rsidRDefault="00000000" w:rsidRPr="00000000" w14:paraId="00000021">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https://www.tradingview.com/x/Jg0pi9F3/</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Grafik TradingView’den</w:t>
      </w:r>
    </w:p>
    <w:p w:rsidR="00000000" w:rsidDel="00000000" w:rsidP="00000000" w:rsidRDefault="00000000" w:rsidRPr="00000000" w14:paraId="00000025">
      <w:pPr>
        <w:rPr>
          <w:rFonts w:ascii="Times New Roman" w:cs="Times New Roman" w:eastAsia="Times New Roman" w:hAnsi="Times New Roman"/>
          <w:sz w:val="24"/>
          <w:szCs w:val="24"/>
        </w:rPr>
      </w:pPr>
      <w:hyperlink r:id="rId9">
        <w:r w:rsidDel="00000000" w:rsidR="00000000" w:rsidRPr="00000000">
          <w:rPr>
            <w:rFonts w:ascii="Montserrat" w:cs="Montserrat" w:eastAsia="Montserrat" w:hAnsi="Montserrat"/>
            <w:color w:val="1155cc"/>
            <w:sz w:val="24"/>
            <w:szCs w:val="24"/>
            <w:highlight w:val="white"/>
            <w:u w:val="single"/>
            <w:rtl w:val="0"/>
          </w:rPr>
          <w:t xml:space="preserve">ZOREN</w:t>
        </w:r>
      </w:hyperlink>
      <w:r w:rsidDel="00000000" w:rsidR="00000000" w:rsidRPr="00000000">
        <w:rPr>
          <w:rFonts w:ascii="Times New Roman" w:cs="Times New Roman" w:eastAsia="Times New Roman" w:hAnsi="Times New Roman"/>
          <w:sz w:val="24"/>
          <w:szCs w:val="24"/>
          <w:rtl w:val="0"/>
        </w:rPr>
        <w:t xml:space="preserve">, % 2.0362 ile 4.51 'den devam etmektedir. Müthiş Osilatör 0.3851 hizasında beklenti doğrultusundadır. Gerçek aralık ortalaması 0.2775 artıda hareket ediyor.</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Emtia Kanal Endeksi, 41.9403 sağlam bir metriktedir.</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Momentumun hıza yardımcı olduğu aşikar: 0.07. ZOREN için RSI14 'ün 58.8636 olduğunu ve 80'in altında olduğu için negatif olarak düşünülüyor.</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Volatilite şu an için yüksek (3.1746). Göreceli hacim metriğinin (2 ve üzeri iyi) 0.3567 olduğunu takip ediyoruz.</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Üstel hareketli ortalamanın (EMA 50) sayısal ölçekte kayıp olduğu görülebilir (3.7827).</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3.7607 &amp; 3.7433, trend çizgisi içinde destek noktaları olarak kabul edilebilir. Gann fanı izdüşümünden stabil bir yatay çizgi ve/veya hızlı bir düşüş öncesi fiyatlanma yorumlanabilir.</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31">
      <w:pPr>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32">
      <w:pPr>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Sonuç itibariyle, Türkiye için hiçbir şey üretmeyen karşıtlar ve şer hayranları, Togg’u da hazmedemiyor. Tok açın halinden anlamaz derler. Ancak bunlar ikisini de anlamıyor. Cari açığa 7 milyar dolar katkı sağlayan bir oluşumu ret edebilmek için demokratik ve bürokratik değil idiot-kratik (aptal-yönetimi) bir bakış açısına sahip olunması gerektiği vurgulanmaktadır. Bazı modern “aydınlara” göre ise Türkiye’nin geleceği yıkımda ve ithal ürünlerin tüketimindedir. Aşırı Batı hayranlığının bir sonucu olan bu görüş milletimize “sadece” birkaç yüzyıl kaybettirmiştir.</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1"/>
      <w:keepLines w:val="1"/>
      <w:pageBreakBefore w:val="0"/>
      <w:shd w:fill="fffffe" w:val="clear"/>
      <w:spacing w:line="324.00000000000006" w:lineRule="auto"/>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tr.tradingview.com/symbols/ZOREN" TargetMode="External"/><Relationship Id="rId5" Type="http://schemas.openxmlformats.org/officeDocument/2006/relationships/styles" Target="styles.xml"/><Relationship Id="rId6" Type="http://schemas.openxmlformats.org/officeDocument/2006/relationships/hyperlink" Target="https://www.tradingview.com/symbols/NASDAQ-TSLA/" TargetMode="External"/><Relationship Id="rId7" Type="http://schemas.openxmlformats.org/officeDocument/2006/relationships/hyperlink" Target="https://tr.tradingview.com/symbols/FROTO" TargetMode="External"/><Relationship Id="rId8" Type="http://schemas.openxmlformats.org/officeDocument/2006/relationships/hyperlink" Target="https://tr.tradingview.com/symbols/VESB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