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KRDMD, THYAO, GARAN: Fed, Faiz ve Enflasyon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Eylül ayında çekirdek kişisel tüketim harcamaları fiyat endeksi bir önceki aya göre %0,5 ve bir yıl öncesine göre %5,1 arttı. Fed faiz ile enflasyonla mücadele edilirken yoğun bir eleştiriye maruz kalıyor.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ABD’de, gıda ve enerji dahil olmak üzere, PCE enflasyonu aylık bazda %0,3 ve yıllık bazda %6,2 arttı.</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Kişisel harcamalar, fiyatlardaki artışın ortasında beklenenden daha fazla %0,6 arttı. Tazminat maliyetleri üçüncü çeyrekte tahminlere paralel olarak %1,2 arttı.</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TSLA</w:t>
        </w:r>
      </w:hyperlink>
      <w:r w:rsidDel="00000000" w:rsidR="00000000" w:rsidRPr="00000000">
        <w:rPr>
          <w:rFonts w:ascii="Times New Roman" w:cs="Times New Roman" w:eastAsia="Times New Roman" w:hAnsi="Times New Roman"/>
          <w:sz w:val="24"/>
          <w:szCs w:val="24"/>
          <w:rtl w:val="0"/>
        </w:rPr>
        <w:t xml:space="preserve"> grafiği, USD 207 fiyatında yüzde 3.64 düştü.</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https://www.tradingview.com/x/1Uf8RQ8K/</w:t>
      </w:r>
    </w:p>
    <w:p w:rsidR="00000000" w:rsidDel="00000000" w:rsidP="00000000" w:rsidRDefault="00000000" w:rsidRPr="00000000" w14:paraId="0000000D">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0E">
      <w:pPr>
        <w:rPr>
          <w:sz w:val="24"/>
          <w:szCs w:val="24"/>
          <w:highlight w:val="white"/>
        </w:rPr>
      </w:pPr>
      <w:hyperlink r:id="rId7">
        <w:r w:rsidDel="00000000" w:rsidR="00000000" w:rsidRPr="00000000">
          <w:rPr>
            <w:color w:val="1155cc"/>
            <w:sz w:val="24"/>
            <w:szCs w:val="24"/>
            <w:highlight w:val="white"/>
            <w:u w:val="single"/>
            <w:rtl w:val="0"/>
          </w:rPr>
          <w:t xml:space="preserve">KRDMD</w:t>
        </w:r>
      </w:hyperlink>
      <w:r w:rsidDel="00000000" w:rsidR="00000000" w:rsidRPr="00000000">
        <w:rPr>
          <w:sz w:val="24"/>
          <w:szCs w:val="24"/>
          <w:highlight w:val="white"/>
          <w:rtl w:val="0"/>
        </w:rPr>
        <w:t xml:space="preserve"> yatırımcısının portföyüne yüzde 7.3493 bir getiriyi 13 fiyatıyla ekledi. Müthiş indikatör üzerinde olumsuz bir kırmızı çizgi var (-0.2906). Gerçek aralığın ortalaması 0.5036 anlamlı bir düzeyde bulunmaktadır.</w:t>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Emtia Kanal Endeksi anlamında 143.4263 olarak pozitiftir.</w:t>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tl w:val="0"/>
        </w:rPr>
        <w:t xml:space="preserve">İvme olarak 0.68 bulunan varlık pozitif bir gidişatta bulunuyor. KRDMD ortalama reytingini yükseltebilir ve RSI 57.502 olarak pozitif olarak ilerlemektedir. </w:t>
      </w:r>
    </w:p>
    <w:p w:rsidR="00000000" w:rsidDel="00000000" w:rsidP="00000000" w:rsidRDefault="00000000" w:rsidRPr="00000000" w14:paraId="00000013">
      <w:pPr>
        <w:rPr>
          <w:sz w:val="24"/>
          <w:szCs w:val="24"/>
          <w:highlight w:val="white"/>
        </w:rPr>
      </w:pPr>
      <w:r w:rsidDel="00000000" w:rsidR="00000000" w:rsidRPr="00000000">
        <w:rPr>
          <w:rtl w:val="0"/>
        </w:rPr>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Volatilite, haftalık rakamlara baktığımızda daha düşük (8.7027). Göreceli hacmin, (2 üstü iyi) 4.1557 olduğunu görmekteyiz.</w:t>
      </w:r>
    </w:p>
    <w:p w:rsidR="00000000" w:rsidDel="00000000" w:rsidP="00000000" w:rsidRDefault="00000000" w:rsidRPr="00000000" w14:paraId="00000015">
      <w:pPr>
        <w:rPr>
          <w:sz w:val="24"/>
          <w:szCs w:val="24"/>
          <w:highlight w:val="white"/>
        </w:rPr>
      </w:pP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tl w:val="0"/>
        </w:rPr>
        <w:t xml:space="preserve">Üstel hareketli ortalamanın (50 günlük) bir kaybı temsil ettiği görülebilir (12.4388).</w:t>
      </w:r>
    </w:p>
    <w:p w:rsidR="00000000" w:rsidDel="00000000" w:rsidP="00000000" w:rsidRDefault="00000000" w:rsidRPr="00000000" w14:paraId="00000017">
      <w:pPr>
        <w:rPr>
          <w:sz w:val="24"/>
          <w:szCs w:val="24"/>
          <w:highlight w:val="white"/>
        </w:rPr>
      </w:pPr>
      <w:r w:rsidDel="00000000" w:rsidR="00000000" w:rsidRPr="00000000">
        <w:rPr>
          <w:rtl w:val="0"/>
        </w:rPr>
      </w:r>
    </w:p>
    <w:p w:rsidR="00000000" w:rsidDel="00000000" w:rsidP="00000000" w:rsidRDefault="00000000" w:rsidRPr="00000000" w14:paraId="00000018">
      <w:pPr>
        <w:rPr>
          <w:sz w:val="24"/>
          <w:szCs w:val="24"/>
          <w:highlight w:val="white"/>
        </w:rPr>
      </w:pPr>
      <w:r w:rsidDel="00000000" w:rsidR="00000000" w:rsidRPr="00000000">
        <w:rPr>
          <w:sz w:val="24"/>
          <w:szCs w:val="24"/>
          <w:highlight w:val="white"/>
          <w:rtl w:val="0"/>
        </w:rPr>
        <w:t xml:space="preserve">Destek noktalarının 12.3767 &amp; 12.1057 oldukları söylenebilir.</w:t>
      </w:r>
    </w:p>
    <w:p w:rsidR="00000000" w:rsidDel="00000000" w:rsidP="00000000" w:rsidRDefault="00000000" w:rsidRPr="00000000" w14:paraId="00000019">
      <w:pPr>
        <w:rPr>
          <w:sz w:val="24"/>
          <w:szCs w:val="24"/>
          <w:highlight w:val="white"/>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color w:val="12181b"/>
          <w:sz w:val="24"/>
          <w:szCs w:val="24"/>
          <w:shd w:fill="f8f8f8" w:val="clear"/>
        </w:rPr>
      </w:pPr>
      <w:r w:rsidDel="00000000" w:rsidR="00000000" w:rsidRPr="00000000">
        <w:rPr>
          <w:rtl w:val="0"/>
        </w:rPr>
      </w:r>
    </w:p>
    <w:p w:rsidR="00000000" w:rsidDel="00000000" w:rsidP="00000000" w:rsidRDefault="00000000" w:rsidRPr="00000000" w14:paraId="0000001B">
      <w:pPr>
        <w:keepNext w:val="1"/>
        <w:keepLines w:val="1"/>
        <w:shd w:fill="fffffe" w:val="clear"/>
        <w:spacing w:line="324.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keepNext w:val="1"/>
        <w:keepLines w:val="1"/>
        <w:shd w:fill="fffffe" w:val="clear"/>
        <w:spacing w:line="324.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keepNext w:val="1"/>
        <w:keepLines w:val="1"/>
        <w:shd w:fill="fffffe" w:val="clear"/>
        <w:spacing w:line="324.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https://www.tradingview.com/x/2obbSZFV/</w:t>
      </w:r>
    </w:p>
    <w:p w:rsidR="00000000" w:rsidDel="00000000" w:rsidP="00000000" w:rsidRDefault="00000000" w:rsidRPr="00000000" w14:paraId="0000001F">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20">
      <w:pPr>
        <w:keepNext w:val="1"/>
        <w:keepLines w:val="1"/>
        <w:shd w:fill="fffffe" w:val="clear"/>
        <w:spacing w:line="324.00000000000006" w:lineRule="auto"/>
        <w:rPr>
          <w:rFonts w:ascii="Times New Roman" w:cs="Times New Roman" w:eastAsia="Times New Roman" w:hAnsi="Times New Roman"/>
          <w:sz w:val="24"/>
          <w:szCs w:val="24"/>
        </w:rPr>
      </w:pPr>
      <w:hyperlink r:id="rId8">
        <w:r w:rsidDel="00000000" w:rsidR="00000000" w:rsidRPr="00000000">
          <w:rPr>
            <w:rFonts w:ascii="Montserrat" w:cs="Montserrat" w:eastAsia="Montserrat" w:hAnsi="Montserrat"/>
            <w:color w:val="1155cc"/>
            <w:sz w:val="24"/>
            <w:szCs w:val="24"/>
            <w:highlight w:val="white"/>
            <w:u w:val="single"/>
            <w:rtl w:val="0"/>
          </w:rPr>
          <w:t xml:space="preserve">THYAO</w:t>
        </w:r>
      </w:hyperlink>
      <w:r w:rsidDel="00000000" w:rsidR="00000000" w:rsidRPr="00000000">
        <w:rPr>
          <w:rFonts w:ascii="Times New Roman" w:cs="Times New Roman" w:eastAsia="Times New Roman" w:hAnsi="Times New Roman"/>
          <w:sz w:val="24"/>
          <w:szCs w:val="24"/>
          <w:rtl w:val="0"/>
        </w:rPr>
        <w:t xml:space="preserve"> istenen bir 2.3576 yüzdelik değişim ve 104.2 artışla devam etmektedir. Müthiş Osilatör, 14.9129 metriğinde olumlu olarak ilerlemektedir. Gerçek aralık ortalamasının 3.465 pozitif bir çizgide olduğu söylenebilir.</w:t>
      </w:r>
    </w:p>
    <w:p w:rsidR="00000000" w:rsidDel="00000000" w:rsidP="00000000" w:rsidRDefault="00000000" w:rsidRPr="00000000" w14:paraId="00000021">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Emtia Kanal Endeksi anlamında 102.9697 olarak pozitiftir.</w:t>
      </w:r>
    </w:p>
    <w:p w:rsidR="00000000" w:rsidDel="00000000" w:rsidP="00000000" w:rsidRDefault="00000000" w:rsidRPr="00000000" w14:paraId="00000022">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İvme 6.25 noktasında anlamlı bir yükselişe ve olumlu direnç kanalı kırılımlarına katkıda bulunuyor. THYAO ortalama reytingini yükseltebilir ve RSI 72.6163 olarak pozitif olarak ilerlemektedir. </w:t>
      </w:r>
    </w:p>
    <w:p w:rsidR="00000000" w:rsidDel="00000000" w:rsidP="00000000" w:rsidRDefault="00000000" w:rsidRPr="00000000" w14:paraId="00000024">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Oynaklık, önceki haftalık rakamlara göre çok az (4.5187). Göreceli hacmin, (2 üstü iyi) 1.7133 olduğunu görmekteyiz.</w:t>
      </w:r>
    </w:p>
    <w:p w:rsidR="00000000" w:rsidDel="00000000" w:rsidP="00000000" w:rsidRDefault="00000000" w:rsidRPr="00000000" w14:paraId="00000026">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Üstel hareketli ortalama (EMA50) bir kaybı temsil ediyor (84.696).</w:t>
      </w:r>
    </w:p>
    <w:p w:rsidR="00000000" w:rsidDel="00000000" w:rsidP="00000000" w:rsidRDefault="00000000" w:rsidRPr="00000000" w14:paraId="00000028">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Destek noktaları 104.1233 &amp; 91.5667 önünde desteklenir.</w:t>
      </w:r>
    </w:p>
    <w:p w:rsidR="00000000" w:rsidDel="00000000" w:rsidP="00000000" w:rsidRDefault="00000000" w:rsidRPr="00000000" w14:paraId="0000002A">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1"/>
        <w:keepLines w:val="1"/>
        <w:shd w:fill="fffffe" w:val="clear"/>
        <w:spacing w:line="324.00000000000006" w:lineRule="auto"/>
        <w:rPr>
          <w:rFonts w:ascii="Montserrat" w:cs="Montserrat" w:eastAsia="Montserrat" w:hAnsi="Montserrat"/>
          <w:color w:val="12181b"/>
          <w:sz w:val="24"/>
          <w:szCs w:val="24"/>
          <w:shd w:fill="f8f8f8" w:val="clear"/>
        </w:rPr>
      </w:pPr>
      <w:r w:rsidDel="00000000" w:rsidR="00000000" w:rsidRPr="00000000">
        <w:rPr>
          <w:rtl w:val="0"/>
        </w:rPr>
      </w:r>
    </w:p>
    <w:p w:rsidR="00000000" w:rsidDel="00000000" w:rsidP="00000000" w:rsidRDefault="00000000" w:rsidRPr="00000000" w14:paraId="0000002C">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https://www.tradingview.com/x/oDL6kHAT/</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2F">
      <w:pPr>
        <w:rPr>
          <w:rFonts w:ascii="Times New Roman" w:cs="Times New Roman" w:eastAsia="Times New Roman" w:hAnsi="Times New Roman"/>
          <w:sz w:val="24"/>
          <w:szCs w:val="24"/>
        </w:rPr>
      </w:pPr>
      <w:hyperlink r:id="rId9">
        <w:r w:rsidDel="00000000" w:rsidR="00000000" w:rsidRPr="00000000">
          <w:rPr>
            <w:rFonts w:ascii="Montserrat" w:cs="Montserrat" w:eastAsia="Montserrat" w:hAnsi="Montserrat"/>
            <w:color w:val="1155cc"/>
            <w:sz w:val="24"/>
            <w:szCs w:val="24"/>
            <w:highlight w:val="white"/>
            <w:u w:val="single"/>
            <w:rtl w:val="0"/>
          </w:rPr>
          <w:t xml:space="preserve">GARAN</w:t>
        </w:r>
      </w:hyperlink>
      <w:r w:rsidDel="00000000" w:rsidR="00000000" w:rsidRPr="00000000">
        <w:rPr>
          <w:rFonts w:ascii="Times New Roman" w:cs="Times New Roman" w:eastAsia="Times New Roman" w:hAnsi="Times New Roman"/>
          <w:sz w:val="24"/>
          <w:szCs w:val="24"/>
          <w:rtl w:val="0"/>
        </w:rPr>
        <w:t xml:space="preserve"> %1.8998 boyutunda değişimsel hareket etti. (Son fiyat: 23.6) Müthiş Osilatör, 1.3997 metriğinde olumlu olarak ilerlemektedir. Gerçek aralığın ortalaması 1.1032 olumlu durmaktadır.</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Emtia Kanal Endeksi -1.7668 olumsuz bir grafikte ilerliyor. Momentum intikatörünün nasıl bir olumsuzlukta olduğunu -1.36 çizgisiyle anlamaktayız. GARAN için RSI14 'ün 53.801 olduğunu ve 80'in altında olduğu için negatif olarak düşünülüyor.</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Volatilite için daha yüksek bir son görülüyor (3.8194). Göreceli hacim osilatörü (2 üstü pozitif) 1.2217 metriğinden ilerlemektedir.</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Üstel Hareketli Ortalama (EMA50) kayıpta bulunmaktadır (22.1584).</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sz w:val="24"/>
          <w:szCs w:val="24"/>
          <w:highlight w:val="white"/>
        </w:rPr>
      </w:pPr>
      <w:r w:rsidDel="00000000" w:rsidR="00000000" w:rsidRPr="00000000">
        <w:rPr>
          <w:rFonts w:ascii="Times New Roman" w:cs="Times New Roman" w:eastAsia="Times New Roman" w:hAnsi="Times New Roman"/>
          <w:sz w:val="24"/>
          <w:szCs w:val="24"/>
          <w:rtl w:val="0"/>
        </w:rPr>
        <w:t xml:space="preserve">23.0667 &amp; 22.2277, trend çizgisi içinde destek noktaları olarak kabul edilebilir.</w:t>
      </w:r>
      <w:r w:rsidDel="00000000" w:rsidR="00000000" w:rsidRPr="00000000">
        <w:rPr>
          <w:rtl w:val="0"/>
        </w:rPr>
      </w:r>
    </w:p>
    <w:p w:rsidR="00000000" w:rsidDel="00000000" w:rsidP="00000000" w:rsidRDefault="00000000" w:rsidRPr="00000000" w14:paraId="00000038">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Sonuç itibarıyle, ABD’de maaş bordroları, işe alımların güçlü kalması nedeniyle Ekim ayında 261.000 arttı. İşgücü maliyetleri daha yavaş yükselirken, ticaret açığı genişliyor, işsizlik başvuruları düşüyor. Bunun yanında, Fed için kilit enflasyon göstergesi Eylül’de %0.5 arttı. Fed sosyal medyada faiz ile enflasyonu dindirmeye çalışması oldukça kötü karikatürize ediliyor.</w:t>
      </w:r>
    </w:p>
    <w:p w:rsidR="00000000" w:rsidDel="00000000" w:rsidP="00000000" w:rsidRDefault="00000000" w:rsidRPr="00000000" w14:paraId="0000003A">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1"/>
      <w:keepLines w:val="1"/>
      <w:pageBreakBefore w:val="0"/>
      <w:shd w:fill="fffffe" w:val="clear"/>
      <w:spacing w:line="324.00000000000006" w:lineRule="auto"/>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r.tradingview.com/symbols/GARAN" TargetMode="External"/><Relationship Id="rId5" Type="http://schemas.openxmlformats.org/officeDocument/2006/relationships/styles" Target="styles.xml"/><Relationship Id="rId6" Type="http://schemas.openxmlformats.org/officeDocument/2006/relationships/hyperlink" Target="https://www.tradingview.com/symbols/NASDAQ-TSLA/" TargetMode="External"/><Relationship Id="rId7" Type="http://schemas.openxmlformats.org/officeDocument/2006/relationships/hyperlink" Target="https://tr.tradingview.com/symbols/KRDMD" TargetMode="External"/><Relationship Id="rId8" Type="http://schemas.openxmlformats.org/officeDocument/2006/relationships/hyperlink" Target="https://tr.tradingview.com/symbols/THYA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