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Türk lirası olarak yüzde {deg} değerle seansı sonlandırdı. {hacim} adet işlem hacmi gerçekleşti. Ortalama hacim (10 günlük) {ort hacim 10} değerindeyken son 2 ayda {ort hacim 60} değerindedir.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grafiğin, genel reytinge dair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alınmaktadır. Bunun yanında, hisse senedinin piyasa değeri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{pysdeg}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fiyata göre kazanç oranı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{fko}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almaktadır. 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 açıdan bakarsak, varlığın; net kazancının mali yılda {netkazancMY}, net borcunun en son çeyrekte {netborcESC} ve net marjının son on iki ayda {netmarjSOIA} olduğunu takip edebiliriz.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{endustri} endüstrisinde yer alan kağıdın temettü getirisi (MY) yüzde{temettuoran} ve hisse başına temettünün {temettuhissebasi} TL ‘dir.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seviyelerinde. Son 3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yılki performansı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yüzdesindedir.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TL ve 52 hafta en düşük {52haftadusuk} TL’dan fiyatlandığını gözlemlemekteyiz. Volatilite: yüzde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Gösterge 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{atr}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CCI20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{cci20}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‘dir.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(RSI14):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{rsi14}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 K (stoch) çizgisi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 D çizgisi yüzde {stokastikyuzded} yer alıyor. 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 VWAP piyasa trendlerinin yönüne dair sinyaller verebilir. 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{bogaayi}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bulunuyor. Parabolic sar göstergesi,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{parabolicsar}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çizgisinden takip edilebilir.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basit hareketli ortalamaların son 50 günde {bho50} trendinden çizgisine devam ettiğini gözlemliyoruz. Hareketli ortalamalar reytingi {hareketliortalamalarrating} vermektedir.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günlük Bollinger bantları: direnç seviyesinin {bbup} ve destek seviyesinin {bbdown} olduğunu vurgulamaktadır. 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Kısaca, haftalık bazda trend ve osilatör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{hareketliortalamalarrating}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sinyalleri alınmaktadır.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