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KOZAL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%{deg} değerle seansı kapattı. {hacim} adet al/sat işlemi gerçekleştiğini görmekteyiz. On günlük {ort hacim 10} ve iki aylık ortalama hacmi {ort hacim 60} de gözlemleyebiliriz.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 piyasasını göz önünde bulundurarak varlığı mali açıdan incelediğimizde, net kazancın mali yılda {netkazancMY}, net borcun en son çeyrekte {netborcESC} ve net marjın son on iki ayda {netmarjSOIA} olduğunu tespit ediyoruz.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%{rsi14} olduğunu görmekteyiz.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stokastikyuzded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olduğunu saptayabiliriz. %80 üzeri, genellikle fiyatın yükselmesi demektir.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Stochastic Oscillator’de grafikte görüldüğü üzere sarı ve mavi çizgiler var. Bunların yükselişte olmaları Al sinyallerini artırır.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 bize hisse senedinin ne kadar popüler olduğunu gösterecektir. Chakin Para Akışı ‘nın {chakinmoneyflow} olduğunu görmekteyiz. Para Akışı Endeksi ‘nin %{moneyflowindex} olduğu anlaşılabilir. {moneyflowindexer}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ve alt seviyesi {bbdown} olarak karşımıza çıkmaktadır.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{symbol} hisse senedi an itibariyle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KOZAL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