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OTKAR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lira fiyattan %{deg} değerle kapanış gösterdi. {hacim} adet işlem hacmine ulaştı.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on günde {ort hacim 10}, son iki ayda ise {ort hacim 60} ortalama hacmin olduğu gözlemlenebilir.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gösterdiğini belirtiyor. Bununla birlikte, hisse senedinin piyasa değeri {pysdeg} olup fiyat kazanç oranı ise {fko}.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net kazancı (MY) {netkazancMY}, net borcu (ESÇ) {netborcESC} ve net marjı (SOİA) {netmarjSOIA} kadardır.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bir senede en yüksek {52haftayuksek} TL noktasını görmüşken, en düşük {52haftadusuk} TL seviyesini test etti. Volatilite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{atr} ve CCI20 seviyesi {cci20} ‘dir. 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%{rsi14} olduğunu görmekteyiz.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stokastikyuzded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olduğunu saptayabiliriz. %80 üzerinde kaldığı sürece trend çizgisine güç verebileceği belirtilebilir. 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bu haftayı, aroon down üzerinde kapatırsa olumlu sinyaller peş peşe artabilir.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göstergelerine göz atabiliriz. Chakin Para Akışı ‘nın {chakinmoneyflow} olduğunu görmekteyiz. Para Akışı Endeksi: %{moneyflowindex}’dir. {moneyflowindexer}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Hacim göstergeleri, genel al/sat davranışlarını görmek için takip etmeliyiz.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bandından takip edilebilir.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 {bho50} kademesindedir. Bollinger bantlarından 20 günlük direnç/destek seviyelerinin, üst seviye {bbup} ve alt seviyesi {bbdown} olduğunu istatistiksel olarak saptayabiliriz.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Sözün kısası {symbol} hisse senedini derinlemesine yorumlamamız neticesinde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sinyalleri alındığı savunulabilir. {endustri} endüstrisindeki gelişmelere bağlı olarak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OTKAR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