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GSRAY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Türk Lirası olarak yüzde {deg} değerle kapanış gösterdi. {hacim} adet işlem hacmine ulaştı. 10 günlük hacim ortalaması {ort hacim 10} ve iki aylık hacim ortalaması {ort hacim 60}’dir.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hisse senedinin piyasa değeri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{pysdeg}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’dir. Fiyat kazanç oranı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{fko}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olarak ifade edilebilir.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finansal enstrümanın mali kalemine yakından bakalım. Net kazancı (MY) {netkazancMY}, net borcu (ESÇ) {netborcESC} ve net marjı (SOİA) {netmarjSOIA} olduğu belirtilebilir.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seviyelerinde. Son 3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içerisinde en yüksek {52haftayuksek} Türk lirası (TRY) ve en düşük {52haftadusuk} Türk lirası çizgileri arasında hareket etmektedir. Volatilite olarak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 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Osilatörlerin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{atr}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CCI20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{cci20}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‘dir.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Göreceli Güç Endeksi (RSI14):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{rsi14}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yüzdeK (stoch) çizgisi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yüzdeD çizgisi yüzde {stokastikyuzded} seviyelerinde devam ediyor. Bu osilatöre, yüzde80 ve üzerinde olumlu sinyaller atfedilmektedir.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yüzde {aroondown} seviyesindedir. Aroon up, Aroon down ‘ın üzerinde ve yüksek bir çizgide seyretmelidir.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göstergelerine göz atabiliriz. Chakin Para Akışı ‘nın (Chakin Money Flow)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{chakinmoneyflow}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olduğunu görmekteyiz. Para Akışı Endeksi’nin (MFI)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{moneyflowindex}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anlaşılabilir. MFI ‘nın yüzde 50 ve üstünde alıcı ağırlıklı bir piyasaya işaret eder.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(VWAP)’ın {hacimagırlıklıortalamafiyatVWAP} yer aldığı anlaşılabilir. Hacim göstergeleri ve piyasa trendleri birbirine pozitif orandadır.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{bogaayi}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bulunuyor. Boğalar harekete geçti mi sorusuna, osilatörlerin tamamını ve gündemi hesaba katarak cevap vermek gereklidir. Parabolic sar osilatörü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{parabolicsar}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çizgisinden takip edilebilir.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basit hareketli ortalamaların son 50 günde {bho50} TL trendinden çizgisine devam ettiğini gözlemliyoruz. Hareketli ortalamalar reytingi {hareketliortalamalarrating} TL çizgisinden takip edilebilir.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Bollinger bantlarının 20 günlük seviye aralığına baktığımızda, üst seviye {bbup} TL ve alt seviyesi {bbdown} TL olarak karşımıza çıkmaktadır. Bollinger bantlarından trendin en düşük muhtemel destek noktalarını ve en yüksek direnç noktalarını çıkarabiliriz.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{hareketliortalamalarrating}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sinyalleri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GSRAY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