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GARAN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Türk Lirası fiyat bandında %{deg} değerle seansı kapattı. {hacim} adet al/sat işlemi gerçekleştiğini görmekteyiz. 10 günlük ortalama hacim {ort hacim 10} iken iki aylık ortalama hacim {ort hacim 60}’dir.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belirgin. Hisse senedinin piyasa değeri {pysdeg}’dir. Fiyat kazanç oranı ise {fko}.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 konusu hisse senedini mali açıdan incelediğimizde, net kazancın mali yılda {netkazancMY}, net borcun en son çeyrekte {netborcESC} ve net marjın son on iki ayda {netmarjSOIA} olduğunu tespit ediyoruz.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Temettü getirisi (MY) %{temettuoran} ve hisse başına temettü {temettuhissebasi} TL olarak tespit edilebilmektedir.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arada, son bir senede en yüksek {52haftayuksek} TL ve en düşük {52haftadusuk} TL olduğunu belirtelim.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İndikatör reytingi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%{rsi14} olduğunu görmekteyiz. 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Stokastik %K (stoch)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Stokastik %D çizgisinin % {stokastikyuzded} olduğunu saptayabiliriz. %80 üzeri, genellikle fiyatın yükselmesi demektir.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Stochastic Oscillator’de sarı ve mavi çizgiler var. Bunların yükselişte olmaları Al sinyallerini artırır.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Aroon down’ın üzerinde ise olumlu yorumlanmaktadır.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 bize hisse senedinin ne kadar popüler olduğunu gösterecektir. Chakin Para Akışı ‘nın (Chakin Money Flow) {chakinmoneyflow} olduğunu görmekteyiz. Para Akışı Endeksi ‘nin (Money Flow Index) %{moneyflowindex} olduğu anlaşılabilir.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direnç/destek seviyelerinin sırasıyla {bbup} TL ve alt seviyesi {bbdown} TL olarak karşımıza çıkmaktadır.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an itibariyle orta vadede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GARAN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