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THYAO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%{deg} değerle kapanış gösterdi. {hacim} adet işlem hacmine ulaştı. Son on günde ortalama hacim {ort hacim 10} değerindeyken son 2 ayda {ort hacim 60} değerindedir.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(MY) {netkazancMY}, net borcu (ESÇ) {netborcESC} ve net marjı (SOİA) {netmarjSOIA} kadardır.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{endustri} endüstrisinde yer alan kağıdın temettü getirisi (MY) %{temettuoran} ve hisse başına temettünün {temettuhissebasi} TL ‘dir.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 Volatilite olarak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{stokastikyuzded} olduğunu saptayabiliriz. %80 üzerinde kaldığı sürece trend çizgisine güç verebileceği belirtilebilir.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Akışı’nın {chakinmoneyflow} olduğunu görmekteyiz. Para Akışı Endeksi ‘nin %{moneyflowindex} olduğu anlaşılabilir. MFI ‘nın %50 ‘nin üzerinde olması durumunda hissede alış baskısı olduğunun altını çizelim.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Hacim göstergelerini, diğer küçük yatırımcıların/aracı kurum ve büyük fonların al/sat davranışlarını görmek için takip etmeliyiz.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 {bho50} kademesindedir. Bollinger bantlarından 20 günlük direnç/destek seviyelerinin, üst seviye {bbup} TL ve alt seviyesi {bbdown} TL olduğunu istatistiksel olarak saptayabiliriz.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alınmaktadır.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HYAO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