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SISE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 bandında %{deg} değerle seansı kapattı. {hacim} adet al/sat işlemi gerçekleştiğini görmekteyiz. Son dönemde ortalama hacim {ort hacim 10} (10 günlük), {ort hacim 60} (2 aylık) değerindedir.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mali yılda {netkazancMY}, net borcun en son çeyrekte {netborcESC} ve net marjın son on iki ayda {netmarjSOIA} olduğunu tespit ediyoruz.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olduğunu belirtelim.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verdigi bilgilere göre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alınmaktadır.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 Stokastik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Stokastik %D çizgisinin %{stokastik%d} olduğunu saptayabiliriz. %80 üzeri, genellikle fiyatın yükselmesi anlamına gelmektedir.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Aroon down’ın üzerinde ise olumlu yorumlanmaktadır.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göstergelerinden Chakin Para Akışı’nın (Chakin Money Flow) {chakinmoneyflow} olduğunu görmekteyiz. Para Akışı Endeksi’nin (Money Flow Index) %{moneyflowindex} olduğu anlaşılabilir. Hacim Ağırlıklı Ortalama Fiyat (VWAP)’ın {hacimagırlıklıortalamafiyatVWAP} yer aldığı anlaşılabilir.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direnç/destek seviyelerinin sırasıyla {bbup} ve alt seviyesi {bbdown} olarak karşımıza çıkmaktadır.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sade anlatırsak, orta vadede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BIST-SISE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