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TUPRS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fiyat bandında %{deg} değerle kapanış göstererek {hacim} adet işlem hacmine ulaştı. Ortalama hacim sırasıyla on günlük ve iki aylık; {ort hacim 10}, {ort hacim 60} kadardır.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gösterdiğini belirtiyor. Bununla birlikte, hisse senedinin piyasa değeri {pysdeg} olup fiyat kazanç oranı ise {fko}.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Varlığın net kazancı (MY) {netkazancMY}, net borcu (ESÇ) {netborcESC} ve net marjı (SOİA) {netmarjSOIA} kadardır.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bir senede en yüksek {52haftayuksek} TL noktasını görmüşken, en düşük {52haftadusuk} TL seviyesini test etti. Volatilite olarak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İndikatörlerin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{atr} ve CCI20 seviyesi {cci20} ‘dir.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Endeksi’nin (RSI14) %{rsi14} olduğunu görmekteyiz.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%D çizgisinin %{stokastik%d} olduğunu saptayabiliriz. Stochastic Oscillator %80 üzerinde ise fiyatlanmaya olumlu bakılmaktadır.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bu haftayı, aroon down üzerinde kapatırsa olumlu sinyaller peş peşe artabilir.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göstergeleri: Chakin Para Akışı ‘nın {chakinmoneyflow} olduğunu görmekteyiz. Para Akışı Endeksi %{moneyflowindex} seviyesindedir. VWAP {hacimagırlıklıortalamafiyatVWAP} seviyesindedir.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bandından takip edilebilir.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günlük basit hareketli ortalamalar {bho50} kademesindedir. Bollinger bantlarından 20 günlük direnç/destek seviyelerinin, üst seviye {bbup} ve alt seviyesi {bbdown} olduğunu istatistiksel olarak saptayabiliriz.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sinyalleri alınmaktadır.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TUPRS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