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TAVHL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 bandında %{deg} değerle seansı kapattı. {hacim} adet al/sat işlemi gerçekleştiğini görmekteyiz. {endustri} endüstrisinde yer alan varlık, son on günde {ort hacim 10} ve son iki ayda {ort hacim 60} kadardır.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belirgin. Hisse senedinin piyasa değeri {pysdeg}’dir.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 konusu hisse senedini mali açıdan incelediğimizde, net kazancın mali yılda {netkazancMY}, net borcun en son çeyrekte {netborcESC} ve net marjın son on iki ayda {netmarjSOIA} olduğunu tespit ediyoruz.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Aracı kurumların sık sık incelediği bu hisse senedinin temettü getirisi (MY) %{temettuoran} ve hisse başına temettünün {temettuhissebasi} TL olduğu anlaşılmaktadır.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İşletme değeri ve FVAÖK oranı {fvaok} seviyesinde yer almaktadır.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en düşük {52haftadusuk} TL olduğunu belirtelim.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 reytinginin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söylenebilir.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%{rsi14} olduğunu görmekteyiz. 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Stokastik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Stokastik %D çizgisinin %{stokastikyuzded} olduğunu saptayabiliriz. %80 üzeri, genellikle fiyatın yükselmesi anlamına gelmektedir. 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Aroon down’ın üzerinde ise olumlu yorumlanmaktadır.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göstergelerinden Chakin Para Akışı’nın {chakinmoneyflow} olduğunu görmekteyiz. Para Akışı Endeksi’nin %{moneyflowindex} olduğu anlaşılabilir. Hacim Ağırlıklı Ortalama Fiyat (VWAP)’ın {hacimagırlıklıortalamafiyatVWAP} yer aldığı anlaşılabilir.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direnç/destek seviyelerinin sırasıyla {bbup} ve alt seviyesi {bbdown} olarak karşımıza çıkmaktadır.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sade anlatırsak, orta vadede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TAVHL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