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TCELL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fiyat bandında %{deg} değerle kapanış gösterdi. {hacim} adet işlem hacmine ulaştı. On gündeki ortalama hacim {ort hacim 10} ve iki aylık ortalama hacim {ort hacim 60}’dir.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gösterdiğini belirtiyor. Bununla birlikte, hisse senedinin piyasa değeri {pysdeg} olup fiyat kazanç oranı ise {fko}.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 net kazancı (MY) {netkazancMY}, net borcu (ESÇ) {netborcESC} ve net marjı (SOİA) {netmarjSOIA} kadardır.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Hisse senedinin temettü getirisi (MY) %{temettuoran} ve hisse başına temettünün {temettuhissebasi} TL olduğunu görmekteyiz.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İşletme değeri ile faiz, vergi ve amortisman öncesi kâra oranı {fvaok} oranında bulunmaktadır.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bir senede en yüksek {52haftayuksek} TL noktasını görmüşken, en düşük {52haftadusuk} TL seviyesini test etti. Volatilite olarak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 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İndikatörlerin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{atr} ve CCI20 seviyesi {cci20} ‘dir.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Endeksi’nin (RSI14) %{rsi14} olduğunu görmekteyiz. 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%{stokastikyuzded} olduğunu saptayabiliriz.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%{aroondown} seviyesindedir. Aroon up, bu haftayı, aroon down üzerinde kapatırsa olumlu sinyaller peş peşe artabilir.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göstergelerine göz atabiliriz. Chakin Para Akışı ‘nın (Chakin Money Flow) {chakinmoneyflow} olduğunu görmekteyiz. Para Akışı Endeksi ‘nin (Money Flow Index: MFI) %{moneyflowindex} olduğu anlaşılabilir. VWAP {hacimagırlıklıortalamafiyatVWAP} bandındadır.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bandından takip edilebilir.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günlük basit hareketli ortalamalar {bho50} kademesindedir. Bollinger bantlarından 20 günlük direnç/destek seviyelerinin, üst seviye {bbup} ve alt seviyesi {bbdown} olduğunu istatistiksel olarak saptayabiliriz.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sinyalleri alınmaktadır. {endustri} endüstrisinde önemli bir yere sahip olan şirket,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TCELL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