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BIMAS, TAVHL ve TCELL  Grafik Analizleri: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BIMAS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hisse senedi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fiyatında (%{deg}) seansı kapattı. Öncelikle bir hacme değinmek isteriz. Bugün {hacim} adet al/sat işlemi gerçekleştiğini görmekteyiz. 10 günlük ortalama hacim {ort hacim 10} iken iki aylık ortalama hacim {ort hacim 60}’dir.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genel bakış boyutunda reytinginin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verdiğini görmekteyiz. Hisse senedinin piyasa değeri {pysdeg} olarak bulunuyor. Fiyat kazanç oranı ise {fko}.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 mali olarak incelediğimizde net kazancın (MY: Mali Yılda) {netkazancMY}, net borcun (ESÇ: en son çeyrekte) {netborcESC} ve net marjın (SOİA: son on iki ayda) {netmarjSOIA} olduğunu görmekteyiz.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Temettü performans ve küçük yatırımcı dostu noktasında önemli bir göstergedir. Hisse senedinin temettü getirisi oranına baktığımızda mali yılda %{temettuoran} ve hisse başına temettünün ise {temettuhissebasi} TL olduğunu görmekteyiz.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İşletme değerinin; faiz, vergi ve amortisman öncesi kâra (FVAÖK) oranı {fvaok}’da bulunmaktadır.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TRY(TL) ve 52 hafta en düşük {52haftadusuk} TRY olduğunu gözlemlemekteyiz. 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Tüm osilatörlerin reytingine(rating)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bandındadır.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aralıklarında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‘nin (RSI14) %{rsi14}.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%{stokastikyuzded} olduğu açıkça görülebilir.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ve Aroon down ise %{aroondown} bulunmaktadır. 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indikatörlerine bir bakış: Chakin Para Akışı (Chakin Money Flow) {chakinmoneyflow} yer alıyor. Para Akışı Endeksi (Money Flow Index) %{moneyflowindex}’dur. Hacim Ağırlıklı Ortalama Fiyat (VWAP) ‘ın {hacimagırlıklıortalamafiyatVWAP} ‘dir.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Peki boğa piyasası var mı? Boğa ayı gücü {bogaayi} iken, parabolic sar indikatörünün {parabolicsar} olduğunu takip etmekteyiz.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ortalamaların {bho50} seviyesinde uç destek verebileceği söylenebilir. Bollinger bantlarının 20 günlük seviye aralığına baktığımızda, direnç seviyesinin {bbup} ve destek seviyesinin {bbdown} olduğunu görmekteyiz.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{endustri} endüstrisinde yer alan şirket haftalık bazda kuşbakışı baktığımızda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göstergelere baktığımızda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BIMAS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