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VESBE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olarak % {deg} değerle kapanış gösterdi. {hacim} adet işlem hacmine ulaştı. Ortalama hacim {ort hacim 10} (10 gün) ve {ort hacim 60} (60 gün) miktarında gerçekleşti.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olduğunu gösteriyor. Bununla birlikte, hisse senedinin piyasa değeri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{pysdeg}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’dir. Fiyat kazanç oranı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{fko}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olarak ifade edilebilir.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finansal enstrümanın mali kalemine yakından bakalım. Net kazancı (MY) {netkazancMY}, net borcu (ESÇ) {netborcESC} ve net marjı (SOİA) {netmarjSOIA} olduğu belirtilebilir.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Temettü getirisi (MY) %{temettuoran} ve hisse başına temettü {temettuhissebasi} TL olarak tespit edilebilmektedir.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İşletme değeri ile faiz, vergi ve amortisman öncesi kâra oranı {fvaok} oranında bulunmaktadır.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seviyelerinde. Son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içerisinde en yüksek {52haftayuksek} Türk lirası(TRY) ve en düşük {52haftadusuk} Türk lirası çizgileri arasında hareket etmektedir. Volatilite olarak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 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İndikatör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{atr}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CCI20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{cci20}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‘dir.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(RSI14):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{rsi14}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 % {stokastik%d} seviyelerinde devam ediyor. Bu osilatöre, %80 ve üzerinde olumlu sinyaller atfedilmektedir.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 {aroondown} seviyesindedir. Aroon up, Aroon down ‘ın üzerinde ve yüksek bir çizgide seyretmelidir.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göstergelerine göz atabiliriz. Chakin Para Akışı ‘nın (CMF)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{chakinmoneyflow}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olduğunu görmekteyiz. Para Akışı Endeksi ‘nin (Money Flow Index: MFI)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{moneyflowindex}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anlaşılabilir. MFI ‘nın %50 ‘nin üzerinde olması durumunda hissede alış baskısı olduğunun altını çizelim.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Hacim göstergeleri piyasa trendlerinin yönünü anlamakta önemi kritiktir.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{bogaayi}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bulunuyor. Boğalar harekete geçti mi sorusuna, osilatörlerin tamamını ve gündemi hesaba katarak cevap vermek gereklidir. Parabolic sar osilatörü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{parabolicsar}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çizgisinden takip edilebilir.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basit hareketli ortalamaların son 50 günde {bho50} trendinden çizgisine devam ettiğini gözlemliyoruz. Hareketli ortalamalar rating ‘i {hareketliortalamalarrating} vermektedir.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Bollinger bantlarının 20 günlük seviye aralığına baktığımızda, üst seviye {bbup} TL ve alt seviyesi {bbdown} TL olarak karşımıza çıkmaktadır. Bollinger bantlarından trendin en düşük muhtemel destek noktalarını ve en yüksek direnç noktalarını çıkarabiliriz.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{hareketliortalamalarrating}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sinyalleri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VESBE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