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rial" w:hAnsi="Arial" w:eastAsia="Arial"/>
          <w:b/>
          <w:color w:val="000000"/>
          <w:sz w:val="36"/>
        </w:rPr>
        <w:t>Bài nộp chuyển đổi ERD sang mô hình quan hệ</w:t>
      </w:r>
    </w:p>
    <w:p>
      <w:pPr>
        <w:spacing w:after="160"/>
        <w:jc w:val="both"/>
      </w:pPr>
      <w:r>
        <w:rPr>
          <w:rFonts w:ascii="Arial" w:hAnsi="Arial" w:eastAsia="Arial"/>
          <w:b w:val="0"/>
          <w:sz w:val="21"/>
        </w:rPr>
        <w:t>Báo cáo trình bày quá trình xác định thực thể, phân tích quan hệ và chuyển đổi ERD quản lý vật tư thành các bảng dữ liệu quan hệ.</w:t>
      </w:r>
    </w:p>
    <w:p>
      <w:pPr>
        <w:keepNext/>
        <w:spacing w:before="200" w:after="100"/>
      </w:pPr>
      <w:r>
        <w:rPr>
          <w:rFonts w:ascii="Arial" w:hAnsi="Arial" w:eastAsia="Arial"/>
          <w:b/>
          <w:color w:val="000000"/>
          <w:sz w:val="28"/>
        </w:rPr>
        <w:t>Mô hình ERD ban đầu</w:t>
      </w:r>
    </w:p>
    <w:p>
      <w:pPr>
        <w:jc w:val="center"/>
      </w:pPr>
      <w:r>
        <w:drawing>
          <wp:inline xmlns:a="http://schemas.openxmlformats.org/drawingml/2006/main" xmlns:pic="http://schemas.openxmlformats.org/drawingml/2006/picture">
            <wp:extent cx="5394960" cy="4317332"/>
            <wp:docPr id="1" name="Picture 1"/>
            <wp:cNvGraphicFramePr>
              <a:graphicFrameLocks noChangeAspect="1"/>
            </wp:cNvGraphicFramePr>
            <a:graphic>
              <a:graphicData uri="http://schemas.openxmlformats.org/drawingml/2006/picture">
                <pic:pic>
                  <pic:nvPicPr>
                    <pic:cNvPr id="0" name="codex-clipboard-af570d01-2cec-4521-a204-a7af92505b34.png"/>
                    <pic:cNvPicPr/>
                  </pic:nvPicPr>
                  <pic:blipFill>
                    <a:blip r:embed="rId9"/>
                    <a:stretch>
                      <a:fillRect/>
                    </a:stretch>
                  </pic:blipFill>
                  <pic:spPr>
                    <a:xfrm>
                      <a:off x="0" y="0"/>
                      <a:ext cx="5394960" cy="4317332"/>
                    </a:xfrm>
                    <a:prstGeom prst="rect"/>
                  </pic:spPr>
                </pic:pic>
              </a:graphicData>
            </a:graphic>
          </wp:inline>
        </w:drawing>
      </w:r>
    </w:p>
    <w:p>
      <w:pPr>
        <w:spacing w:after="140"/>
        <w:jc w:val="center"/>
      </w:pPr>
      <w:r>
        <w:rPr>
          <w:rFonts w:ascii="Arial" w:hAnsi="Arial" w:eastAsia="Arial"/>
          <w:b w:val="0"/>
          <w:color w:val="555555"/>
          <w:sz w:val="18"/>
        </w:rPr>
        <w:t>Hình 1 Mô hình ERD quản lý vật tư</w:t>
      </w:r>
    </w:p>
    <w:p>
      <w:pPr>
        <w:keepNext/>
        <w:spacing w:before="200" w:after="100"/>
      </w:pPr>
      <w:r>
        <w:rPr>
          <w:rFonts w:ascii="Arial" w:hAnsi="Arial" w:eastAsia="Arial"/>
          <w:b/>
          <w:color w:val="000000"/>
          <w:sz w:val="28"/>
        </w:rPr>
        <w:t>Bước 1 Xác định các thực thể</w:t>
      </w:r>
    </w:p>
    <w:p>
      <w:r>
        <w:rPr>
          <w:rFonts w:ascii="Arial" w:hAnsi="Arial" w:eastAsia="Arial"/>
          <w:b w:val="0"/>
          <w:sz w:val="21"/>
        </w:rPr>
        <w:t>ERD có năm thực thể chính. Thuộc tính được gạch chân là khóa chính.</w:t>
      </w:r>
    </w:p>
    <w:tbl>
      <w:tblPr>
        <w:tblStyle w:val="TableGrid"/>
        <w:tblW w:type="auto" w:w="0"/>
        <w:tblLayout w:type="fixed"/>
        <w:tblLook w:firstColumn="1" w:firstRow="1" w:lastColumn="0" w:lastRow="0" w:noHBand="0" w:noVBand="1" w:val="04A0"/>
      </w:tblPr>
      <w:tblGrid>
        <w:gridCol w:w="2556"/>
        <w:gridCol w:w="2556"/>
        <w:gridCol w:w="2556"/>
        <w:gridCol w:w="2556"/>
      </w:tblGrid>
      <w:tr>
        <w:trPr>
          <w:tblHeader w:val="true"/>
        </w:trPr>
        <w:tc>
          <w:tcPr>
            <w:tcW w:type="dxa" w:w="6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STT</w:t>
            </w:r>
          </w:p>
        </w:tc>
        <w:tc>
          <w:tcPr>
            <w:tcW w:type="dxa" w:w="187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Thực thể</w:t>
            </w:r>
          </w:p>
        </w:tc>
        <w:tc>
          <w:tcPr>
            <w:tcW w:type="dxa" w:w="1701"/>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Khóa chính</w:t>
            </w:r>
          </w:p>
        </w:tc>
        <w:tc>
          <w:tcPr>
            <w:tcW w:type="dxa" w:w="5102"/>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Thuộc tính còn lại</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1</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PHIEUXUAT</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SoPX</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NgayXuat</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2</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VATTU</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MaVTU</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TenVTU</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3</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PHIEUNHAP</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SoPN</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NgayNhap</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4</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DONDH</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SoDH</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NgayDH</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5</w:t>
            </w:r>
          </w:p>
        </w:tc>
        <w:tc>
          <w:tcPr>
            <w:tcW w:type="dxa" w:w="187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NHACC</w:t>
            </w:r>
          </w:p>
        </w:tc>
        <w:tc>
          <w:tcPr>
            <w:tcW w:type="dxa" w:w="1701"/>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MaNCC</w:t>
            </w:r>
          </w:p>
        </w:tc>
        <w:tc>
          <w:tcPr>
            <w:tcW w:type="dxa" w:w="5102"/>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TenNCC, DiaChi, SDT</w:t>
            </w:r>
          </w:p>
        </w:tc>
      </w:tr>
    </w:tbl>
    <w:p>
      <w:pPr>
        <w:spacing w:after="40"/>
      </w:pPr>
    </w:p>
    <w:p>
      <w:pPr>
        <w:keepNext/>
        <w:spacing w:before="200" w:after="100"/>
      </w:pPr>
      <w:r>
        <w:rPr>
          <w:rFonts w:ascii="Arial" w:hAnsi="Arial" w:eastAsia="Arial"/>
          <w:b/>
          <w:color w:val="000000"/>
          <w:sz w:val="28"/>
        </w:rPr>
        <w:t>Bước 2 Phân tích các mối quan hệ</w:t>
      </w:r>
    </w:p>
    <w:p>
      <w:r>
        <w:rPr>
          <w:rFonts w:ascii="Arial" w:hAnsi="Arial" w:eastAsia="Arial"/>
          <w:b w:val="0"/>
          <w:sz w:val="21"/>
        </w:rPr>
        <w:t>Ba quan hệ N N tạo bảng chi tiết. Quan hệ 1 N giữa nhà cung cấp và đơn đặt hàng được chuyển thành khóa ngoại.</w:t>
      </w:r>
    </w:p>
    <w:tbl>
      <w:tblPr>
        <w:tblStyle w:val="TableGrid"/>
        <w:tblW w:type="auto" w:w="0"/>
        <w:tblLayout w:type="fixed"/>
        <w:tblLook w:firstColumn="1" w:firstRow="1" w:lastColumn="0" w:lastRow="0" w:noHBand="0" w:noVBand="1" w:val="04A0"/>
      </w:tblPr>
      <w:tblGrid>
        <w:gridCol w:w="3408"/>
        <w:gridCol w:w="3408"/>
        <w:gridCol w:w="3408"/>
      </w:tblGrid>
      <w:tr>
        <w:trPr>
          <w:tblHeader w:val="true"/>
        </w:trPr>
        <w:tc>
          <w:tcPr>
            <w:tcW w:type="dxa" w:w="266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Quan hệ</w:t>
            </w:r>
          </w:p>
        </w:tc>
        <w:tc>
          <w:tcPr>
            <w:tcW w:type="dxa" w:w="1247"/>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Lực lượng</w:t>
            </w:r>
          </w:p>
        </w:tc>
        <w:tc>
          <w:tcPr>
            <w:tcW w:type="dxa" w:w="5386"/>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Cách chuyển đổi</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PHIEUXUAT - VATTU</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N - N</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Tạo CHITIETPHIEUXUAT; thêm DGXuat, SLXuat.</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PHIEUNHAP - VATTU</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N - N</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Tạo CHITIETPHIEUNHAP; thêm DGNhap, SLNhap.</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DONDH - VATTU</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N - N</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Tạo CHITIETDONDH.</w:t>
            </w:r>
          </w:p>
        </w:tc>
      </w:tr>
      <w:tr>
        <w:tc>
          <w:tcPr>
            <w:tcW w:type="dxa" w:w="266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NHACC - DONDH</w:t>
            </w:r>
          </w:p>
        </w:tc>
        <w:tc>
          <w:tcPr>
            <w:tcW w:type="dxa" w:w="1247"/>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1 - N</w:t>
            </w:r>
          </w:p>
        </w:tc>
        <w:tc>
          <w:tcPr>
            <w:tcW w:type="dxa" w:w="538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Thêm MaNCC làm khóa ngoại vào DONDH.</w:t>
            </w:r>
          </w:p>
        </w:tc>
      </w:tr>
    </w:tbl>
    <w:p>
      <w:pPr>
        <w:spacing w:after="40"/>
      </w:pPr>
    </w:p>
    <w:p>
      <w:pPr>
        <w:keepNext/>
        <w:spacing w:before="200" w:after="100"/>
      </w:pPr>
      <w:r>
        <w:rPr>
          <w:rFonts w:ascii="Arial" w:hAnsi="Arial" w:eastAsia="Arial"/>
          <w:b/>
          <w:color w:val="000000"/>
          <w:sz w:val="28"/>
        </w:rPr>
        <w:t>Bước 3 Xác định khóa của các bảng chi tiết</w:t>
      </w:r>
    </w:p>
    <w:p>
      <w:pPr>
        <w:pStyle w:val="ListBullet"/>
        <w:spacing w:after="40"/>
      </w:pPr>
      <w:r>
        <w:rPr>
          <w:rFonts w:ascii="Arial" w:hAnsi="Arial" w:eastAsia="Arial"/>
          <w:b w:val="0"/>
          <w:sz w:val="21"/>
        </w:rPr>
        <w:t>CHITIETPHIEUXUAT dùng khóa chính ghép SoPX và MaVTU.</w:t>
      </w:r>
    </w:p>
    <w:p>
      <w:pPr>
        <w:pStyle w:val="ListBullet"/>
        <w:spacing w:after="40"/>
      </w:pPr>
      <w:r>
        <w:rPr>
          <w:rFonts w:ascii="Arial" w:hAnsi="Arial" w:eastAsia="Arial"/>
          <w:b w:val="0"/>
          <w:sz w:val="21"/>
        </w:rPr>
        <w:t>CHITIETPHIEUNHAP dùng khóa chính ghép SoPN và MaVTU.</w:t>
      </w:r>
    </w:p>
    <w:p>
      <w:pPr>
        <w:pStyle w:val="ListBullet"/>
        <w:spacing w:after="40"/>
      </w:pPr>
      <w:r>
        <w:rPr>
          <w:rFonts w:ascii="Arial" w:hAnsi="Arial" w:eastAsia="Arial"/>
          <w:b w:val="0"/>
          <w:sz w:val="21"/>
        </w:rPr>
        <w:t>CHITIETDONDH dùng khóa chính ghép SoDH và MaVTU.</w:t>
      </w:r>
    </w:p>
    <w:p>
      <w:pPr>
        <w:pStyle w:val="ListBullet"/>
        <w:spacing w:after="40"/>
      </w:pPr>
      <w:r>
        <w:rPr>
          <w:rFonts w:ascii="Arial" w:hAnsi="Arial" w:eastAsia="Arial"/>
          <w:b w:val="0"/>
          <w:sz w:val="21"/>
        </w:rPr>
        <w:t>Các thuộc tính thành phần của khóa ghép đồng thời là khóa ngoại đến bảng cha tương ứng.</w:t>
      </w:r>
    </w:p>
    <w:p>
      <w:r>
        <w:br w:type="page"/>
      </w:r>
    </w:p>
    <w:p>
      <w:pPr>
        <w:keepNext/>
        <w:spacing w:before="200" w:after="100"/>
      </w:pPr>
      <w:r>
        <w:rPr>
          <w:rFonts w:ascii="Arial" w:hAnsi="Arial" w:eastAsia="Arial"/>
          <w:b/>
          <w:color w:val="000000"/>
          <w:sz w:val="28"/>
        </w:rPr>
        <w:t>Bước 4 Danh sách các bảng quan hệ thu được</w:t>
      </w:r>
    </w:p>
    <w:p>
      <w:r>
        <w:rPr>
          <w:rFonts w:ascii="Arial" w:hAnsi="Arial" w:eastAsia="Arial"/>
          <w:b w:val="0"/>
          <w:sz w:val="21"/>
        </w:rPr>
        <w:t>Ký hiệu PK là khóa chính và FK là khóa ngoại. Các bảng chi tiết dùng khóa chính ghép.</w:t>
      </w:r>
    </w:p>
    <w:tbl>
      <w:tblPr>
        <w:tblStyle w:val="TableGrid"/>
        <w:tblW w:type="auto" w:w="0"/>
        <w:tblLayout w:type="fixed"/>
        <w:tblLook w:firstColumn="1" w:firstRow="1" w:lastColumn="0" w:lastRow="0" w:noHBand="0" w:noVBand="1" w:val="04A0"/>
      </w:tblPr>
      <w:tblGrid>
        <w:gridCol w:w="3408"/>
        <w:gridCol w:w="3408"/>
        <w:gridCol w:w="3408"/>
      </w:tblGrid>
      <w:tr>
        <w:trPr>
          <w:tblHeader w:val="true"/>
        </w:trPr>
        <w:tc>
          <w:tcPr>
            <w:tcW w:type="dxa" w:w="624"/>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STT</w:t>
            </w:r>
          </w:p>
        </w:tc>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Bảng quan hệ</w:t>
            </w:r>
          </w:p>
        </w:tc>
        <w:tc>
          <w:tcPr>
            <w:tcW w:type="dxa" w:w="5839"/>
            <w:shd w:fill="17365D"/>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color w:val="FFFFFF"/>
                <w:sz w:val="19"/>
              </w:rPr>
              <w:t>Thuộc tính và ràng buộc</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1</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PHIEUXUAT</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SoPX PK, NgayXuat</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2</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VATTU</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MaVTU PK, TenVTU</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3</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PHIEUNHAP</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SoPN PK, NgayNhap</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4</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NHACC</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MaNCC PK, TenNCC, DiaChi, SDT</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5</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DONDH</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SoDH PK, NgayDH, MaNCC FK -&gt; NHACC(MaNCC)</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6</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CHITIETPHIEUXUAT</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SoPX PK FK -&gt; PHIEUXUAT; MaVTU PK FK -&gt; VATTU; DGXuat, SLXuat</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Arial" w:hAnsi="Arial" w:eastAsia="Arial"/>
                <w:b w:val="0"/>
                <w:sz w:val="19"/>
              </w:rPr>
              <w:t>7</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CHITIETPHIEUNHAP</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left"/>
            </w:pPr>
            <w:r>
              <w:rPr>
                <w:rFonts w:ascii="Arial" w:hAnsi="Arial" w:eastAsia="Arial"/>
                <w:b w:val="0"/>
                <w:sz w:val="19"/>
              </w:rPr>
              <w:t>SoPN PK FK -&gt; PHIEUNHAP; MaVTU PK FK -&gt; VATTU; DGNhap, SLNhap</w:t>
            </w:r>
          </w:p>
        </w:tc>
      </w:tr>
      <w:tr>
        <w:tc>
          <w:tcPr>
            <w:tcW w:type="dxa" w:w="62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center"/>
            </w:pPr>
            <w:r>
              <w:rPr>
                <w:rFonts w:ascii="Arial" w:hAnsi="Arial" w:eastAsia="Arial"/>
                <w:b w:val="0"/>
                <w:sz w:val="19"/>
              </w:rPr>
              <w:t>8</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CHITIETDONDH</w:t>
            </w:r>
          </w:p>
        </w:tc>
        <w:tc>
          <w:tcPr>
            <w:tcW w:type="dxa" w:w="583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pPr>
              <w:jc w:val="left"/>
            </w:pPr>
            <w:r>
              <w:rPr>
                <w:rFonts w:ascii="Arial" w:hAnsi="Arial" w:eastAsia="Arial"/>
                <w:b w:val="0"/>
                <w:sz w:val="19"/>
              </w:rPr>
              <w:t>SoDH PK FK -&gt; DONDH; MaVTU PK FK -&gt; VATTU</w:t>
            </w:r>
          </w:p>
        </w:tc>
      </w:tr>
    </w:tbl>
    <w:p>
      <w:pPr>
        <w:spacing w:after="40"/>
      </w:pPr>
    </w:p>
    <w:p>
      <w:pPr>
        <w:keepNext/>
        <w:spacing w:before="200" w:after="100"/>
      </w:pPr>
      <w:r>
        <w:rPr>
          <w:rFonts w:ascii="Arial" w:hAnsi="Arial" w:eastAsia="Arial"/>
          <w:b/>
          <w:color w:val="000000"/>
          <w:sz w:val="28"/>
        </w:rPr>
        <w:t>Kết luận</w:t>
      </w:r>
    </w:p>
    <w:p>
      <w:pPr>
        <w:jc w:val="both"/>
      </w:pPr>
      <w:r>
        <w:rPr>
          <w:rFonts w:ascii="Arial" w:hAnsi="Arial" w:eastAsia="Arial"/>
          <w:b w:val="0"/>
          <w:sz w:val="21"/>
        </w:rPr>
        <w:t>Mô hình quan hệ thu được gồm năm bảng thực thể và ba bảng chi tiết. Việc tách các quan hệ N N thành bảng trung gian giúp lưu được dữ liệu phát sinh cho từng phiếu xuất, phiếu nhập và đơn đặt hàng, đồng thời bảo đảm liên kết dữ liệu bằng khóa ngoại.</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nop chuyen doi ERD sang mo hinh quan he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