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Original Manuscript ID: Access-2026-12395</w:t>
      </w:r>
    </w:p>
    <w:p>
      <w:r>
        <w:t>Original Article Title: “EyanaSSDSim: Explore the Inner Workings of Solid-State Drives with Data Visualization”</w:t>
      </w:r>
    </w:p>
    <w:p/>
    <w:p>
      <w:r>
        <w:t>To: IEEE Access Editor</w:t>
      </w:r>
    </w:p>
    <w:p>
      <w:r>
        <w:t>Re: Response to reviewers</w:t>
      </w:r>
    </w:p>
    <w:p/>
    <w:p>
      <w:r>
        <w:t>Dear Editor,</w:t>
      </w:r>
    </w:p>
    <w:p>
      <w:r>
        <w:t>Thank you for allowing a resubmission of our manuscript, with an opportunity to address the reviewers’ comments. We are uploading (a) our point-by-point response to the comments (below), (b) an updated manuscript with yellow highlighting indicating changes (“Highlighted PDF”), and (c) a clean updated manuscript without highlights (“Main Manuscript”).</w:t>
      </w:r>
    </w:p>
    <w:p/>
    <w:p>
      <w:r>
        <w:rPr>
          <w:b/>
        </w:rPr>
        <w:t xml:space="preserve">Summary of the major revision: </w:t>
      </w:r>
      <w:r>
        <w:t>We rebuilt the simulation engine as a headless, unit-tested core. In doing so we identified and fixed correctness defects in the earlier prototype (separate counting of host vs. GC writes, a page-per-block off-by-one, and a configuration under which some allocation schemes were not distinct) and re-ran all synthetic experiments on the corrected engine. We also matched the device size to the FTLSim/FEMU comparison, added cost-benefit and FIFO GC policies, added Coefficient-of-Variation and Gini wear metrics, added a scalability study, resolved the wear-leveling ambiguity, and scoped the determinism and survey claims. Where results changed, we report the new, verified values.</w:t>
      </w:r>
    </w:p>
    <w:p/>
    <w:p>
      <w:r>
        <w:t>Best regards,</w:t>
      </w:r>
    </w:p>
    <w:p>
      <w:r>
        <w:t>Md Habibur Rahman et al.</w:t>
      </w:r>
    </w:p>
    <w:p/>
    <w:p>
      <w:r>
        <w:rPr>
          <w:b/>
        </w:rPr>
        <w:t xml:space="preserve">Reviewer#1, Concern # 1 (please list here): </w:t>
      </w:r>
      <w:r>
        <w:t>The simulator is deterministic and does not model stochastic variability such as hardware latency, bus contention, and bit errors, risking an idealized model.</w:t>
      </w:r>
    </w:p>
    <w:p>
      <w:r>
        <w:rPr>
          <w:b/>
        </w:rPr>
        <w:t xml:space="preserve">Author response: </w:t>
      </w:r>
      <w:r>
        <w:t>EyanaSSDSim is deterministic by design, in common with widely used FTL research simulators (FTLSim, the DiskSim-based SSD model, and default MQSim). Determinism is deliberate for a visualization-and-analysis tool: it makes every internal event exactly reproducible, which is what enables step-by-step visual tracking and repeatable teaching. We now state explicitly that EyanaSSDSim models the logical and architectural behavior of the FTL (data placement, GC, wear-leveling, WAF), not analog NAND phenomena (raw bit-error rate, read-retry, program/erase-time variation) or host/OS overheads.</w:t>
      </w:r>
    </w:p>
    <w:p>
      <w:r>
        <w:rPr>
          <w:b/>
        </w:rPr>
        <w:t xml:space="preserve">Author action: </w:t>
      </w:r>
      <w:r>
        <w:t>We updated the manuscript by added a Limitations subsection scoping the model, stated the determinism rationale, and noted that a stochastic latency/error layer (for which the workload generator already exposes a seed hook) is future work. These changes appear in the Limitations paragraph of Section VII and the determinism statement in Section IV.</w:t>
      </w:r>
    </w:p>
    <w:p/>
    <w:p>
      <w:r>
        <w:rPr>
          <w:b/>
        </w:rPr>
        <w:t xml:space="preserve">Reviewer#1, Concern # 2 (please list here): </w:t>
      </w:r>
      <w:r>
        <w:t>Only a greedy GC policy is used, which limits the tool for investigating advanced GC policies (e.g., cost-benefit, windowed).</w:t>
      </w:r>
    </w:p>
    <w:p>
      <w:r>
        <w:rPr>
          <w:b/>
        </w:rPr>
        <w:t xml:space="preserve">Author response: </w:t>
      </w:r>
      <w:r>
        <w:t>We rebuilt the simulation core with a pluggable GC interface and implemented two additional policies -- cost-benefit (age/utilization-weighted) and FIFO -- beyond greedy. A comparative evaluation (presented together with the ZNS comparison in a single reclaim-strategy figure) shows the cost-benefit policy yields slightly more uniform wear than greedy for the uniform random workload, while among the conventional policies greedy attains the lowest write amplification for the Zipf workload and FIFO is the weakest. This demonstrates the engine is not tied to greedy and can serve as a testbed for reclaim policies.</w:t>
      </w:r>
    </w:p>
    <w:p>
      <w:r>
        <w:rPr>
          <w:b/>
        </w:rPr>
        <w:t xml:space="preserve">Author action: </w:t>
      </w:r>
      <w:r>
        <w:t>We updated the manuscript by added a pluggable GC interface with cost-benefit and FIFO policies and a combined reclaim-strategy comparison figure (WAF and wear per strategy) with discussion. See Section VII (Discussion) and the new Figure 13.</w:t>
      </w:r>
    </w:p>
    <w:p/>
    <w:p>
      <w:r>
        <w:rPr>
          <w:b/>
        </w:rPr>
        <w:t xml:space="preserve">Reviewer#1, Concern # 3 (please list here): </w:t>
      </w:r>
      <w:r>
        <w:t>The tool is limited to a small capacity (a few GB) and its performance can be affected by browser limits, positioning it as educational rather than a robust research simulator.</w:t>
      </w:r>
    </w:p>
    <w:p>
      <w:r>
        <w:rPr>
          <w:b/>
        </w:rPr>
        <w:t xml:space="preserve">Author response: </w:t>
      </w:r>
      <w:r>
        <w:t>The simulation core is headless and configurable; we added a scalability evaluation at 5, 20, and 40 GB, sustaining near-constant throughput (about 4.3-4.5x10^5 write operations per second). Only the browser-based visualization layer is bounded by rendering, which is addressed by the aggregated view (below). The device size in the paper was chosen for figure legibility, not as an engine limit.</w:t>
      </w:r>
    </w:p>
    <w:p>
      <w:r>
        <w:rPr>
          <w:b/>
        </w:rPr>
        <w:t xml:space="preserve">Author action: </w:t>
      </w:r>
      <w:r>
        <w:t>We updated the manuscript by added a scalability table (5/20/40 GB with throughput) and clarified that capacity is configurable and independent of the visualization layer. See the new Table 9 (scalability) and Section VII.</w:t>
      </w:r>
    </w:p>
    <w:p/>
    <w:p>
      <w:r>
        <w:rPr>
          <w:b/>
        </w:rPr>
        <w:t xml:space="preserve">Reviewer#1, Concern # 4 (please list here): </w:t>
      </w:r>
      <w:r>
        <w:t>The proposed 'aggregated views' for scalability are not described precisely, risking loss of the real-time observation that is the main contribution.</w:t>
      </w:r>
    </w:p>
    <w:p>
      <w:r>
        <w:rPr>
          <w:b/>
        </w:rPr>
        <w:t xml:space="preserve">Author response: </w:t>
      </w:r>
      <w:r>
        <w:t>We now describe the aggregation precisely: at large capacities each rendered cell maps to a fixed group of physical blocks and its color encodes the group's mean invalid-page ratio (and, on toggle, mean erase count). This preserves observation of spatial trends in real time while bounding the number of drawn elements.</w:t>
      </w:r>
    </w:p>
    <w:p>
      <w:r>
        <w:rPr>
          <w:b/>
        </w:rPr>
        <w:t xml:space="preserve">Author action: </w:t>
      </w:r>
      <w:r>
        <w:t>We updated the manuscript by added a description of the aggregation scheme to the architecture/discussion. See Section VII (Discussion).</w:t>
      </w:r>
    </w:p>
    <w:p/>
    <w:p>
      <w:r>
        <w:rPr>
          <w:b/>
        </w:rPr>
        <w:t xml:space="preserve">Reviewer#1, Concern # 5 (please list here): </w:t>
      </w:r>
      <w:r>
        <w:t>The WAF differences versus FTLSim are attributed vaguely to 'different simulation approaches' and to LSB backup pages, suggesting an oversimplified model.</w:t>
      </w:r>
    </w:p>
    <w:p>
      <w:r>
        <w:rPr>
          <w:b/>
        </w:rPr>
        <w:t xml:space="preserve">Author response: </w:t>
      </w:r>
      <w:r>
        <w:t>During the revision we rebuilt the engine and, importantly, discovered that our earlier FTLSim/FEMU comparison had used a larger device than FTLSim/FEMU. Re-running EyanaSSDSim on the same 1.27 GB device used for FTLSim/FEMU, the synthetic workloads now agree closely: at 10% OPS EyanaSSDSim reports WAF 2.39 (uniform) and 1.13 (Zipf) versus 2.55 and 1.13 for FTLSim. The remaining sequential/prxy gaps are quantitatively explained by FTLSim's LSB backup pages (e.g., 2.8M backup pages for prxy inflate its WAF), not by our WAF calculation. We now state this explicitly and bound the difference.</w:t>
      </w:r>
    </w:p>
    <w:p>
      <w:r>
        <w:rPr>
          <w:b/>
        </w:rPr>
        <w:t xml:space="preserve">Author action: </w:t>
      </w:r>
      <w:r>
        <w:t>We updated the manuscript by re-ran the validation on the matched device size, updated the WAF comparison figure, and added text quantifying the close synthetic-workload agreement and the LSB-backup explanation. See Section VI (Performance Validation) and the revised Figure 12.</w:t>
      </w:r>
    </w:p>
    <w:p/>
    <w:p>
      <w:r>
        <w:rPr>
          <w:b/>
        </w:rPr>
        <w:t xml:space="preserve">Reviewer#1, Concern # 6 (please list here): </w:t>
      </w:r>
      <w:r>
        <w:t>The physical justification for using Fourier analysis to measure wear-leveling, versus standard statistical dispersion metrics (e.g., coefficient of variation, Gini index), is unclear.</w:t>
      </w:r>
    </w:p>
    <w:p>
      <w:r>
        <w:rPr>
          <w:b/>
        </w:rPr>
        <w:t xml:space="preserve">Author response: </w:t>
      </w:r>
      <w:r>
        <w:t>We now report the Coefficient of Variation and the Gini coefficient of the per-block erase counts alongside the Fourier amplitude spread. The scalar metrics quantify how uneven the wear is, while the Fourier spectrum additionally exposes the spatial/periodic structure of erase concentration (which groups of blocks are repeatedly hottest, and at what spatial frequency) that a single aggregate number cannot. We present Fourier as complementary to, not a replacement for, CV and Gini. We also removed the DC component from the amplitude spread so that a perfectly uniform distribution correctly yields zero spread.</w:t>
      </w:r>
    </w:p>
    <w:p>
      <w:r>
        <w:rPr>
          <w:b/>
        </w:rPr>
        <w:t xml:space="preserve">Author action: </w:t>
      </w:r>
      <w:r>
        <w:t>We updated the manuscript by added CV and Gini columns/metrics and a paragraph motivating the Fourier analysis as complementary to standard dispersion measures. See Section V (Analysis of the Simulation Results), Figure 7, and the erase-count analysis in Section V.</w:t>
      </w:r>
    </w:p>
    <w:p/>
    <w:p>
      <w:r>
        <w:rPr>
          <w:b/>
        </w:rPr>
        <w:t xml:space="preserve">Reviewer#1, Concern # 7 (please list here): </w:t>
      </w:r>
      <w:r>
        <w:t>Verify that the Evaluation section defines the DoIPD and DoEC metrics in sufficient detail so the reader need not jump between sections.</w:t>
      </w:r>
    </w:p>
    <w:p>
      <w:r>
        <w:rPr>
          <w:b/>
        </w:rPr>
        <w:t xml:space="preserve">Author response: </w:t>
      </w:r>
      <w:r>
        <w:t>Both metrics are defined with their equations, and a summary notation table together with an 'Evaluation Metrics' list (WAF, DoIPD, DoEC, CV, Gini) is provided in the evaluation, so the reader does not need to jump between sections.</w:t>
      </w:r>
    </w:p>
    <w:p>
      <w:r>
        <w:rPr>
          <w:b/>
        </w:rPr>
        <w:t xml:space="preserve">Author action: </w:t>
      </w:r>
      <w:r>
        <w:t>We updated the manuscript by confirmed that the DoIPD and DoEC definitions, their equations, and a notation table are present in the Evaluation section. See the Evaluation Metrics list in Section IV, the notation table (Table 6), and the DoIPD/DoEC equations in Section V.</w:t>
      </w:r>
    </w:p>
    <w:p/>
    <w:p>
      <w:r>
        <w:rPr>
          <w:b/>
        </w:rPr>
        <w:t xml:space="preserve">Reviewer#1, Concern # 8 (additional) (please list here): </w:t>
      </w:r>
      <w:r>
        <w:t>The GC thresholds (start at 99.9995%, stop at 99.9990%) are extremely narrow and unrealistic, and could bias the WAF results.</w:t>
      </w:r>
    </w:p>
    <w:p>
      <w:r>
        <w:rPr>
          <w:b/>
        </w:rPr>
        <w:t xml:space="preserve">Author response: </w:t>
      </w:r>
      <w:r>
        <w:t>This was an artifact of how the earlier prototype expressed its trigger. The rebuilt engine uses standard high/low block-utilization watermarks (start GC at 95%, stop at 90%), which reflect typical SSD over-provisioning behavior. All reported results use these watermarks.</w:t>
      </w:r>
    </w:p>
    <w:p>
      <w:r>
        <w:rPr>
          <w:b/>
        </w:rPr>
        <w:t xml:space="preserve">Author action: </w:t>
      </w:r>
      <w:r>
        <w:t>We updated the manuscript by replaced the near-full trigger with 95%/90% watermarks in the device table and text. See Table 2 (device specification) and Section III.</w:t>
      </w:r>
    </w:p>
    <w:p/>
    <w:p>
      <w:r>
        <w:rPr>
          <w:b/>
        </w:rPr>
        <w:t xml:space="preserve">Reviewer#1, Concern # 9 (additional) (please list here): </w:t>
      </w:r>
      <w:r>
        <w:t>It is not specified whether the reported read latency accounts for bus contention or OS overhead, weakening the validation.</w:t>
      </w:r>
    </w:p>
    <w:p>
      <w:r>
        <w:rPr>
          <w:b/>
        </w:rPr>
        <w:t xml:space="preserve">Author response: </w:t>
      </w:r>
      <w:r>
        <w:t>We clarify that the reported latency models per-operation flash service time (page read/program, block erase) with channel-level serialization, not host-stack or operating-system overhead, and we scope the FEMU latency comparison accordingly.</w:t>
      </w:r>
    </w:p>
    <w:p>
      <w:r>
        <w:rPr>
          <w:b/>
        </w:rPr>
        <w:t xml:space="preserve">Author action: </w:t>
      </w:r>
      <w:r>
        <w:t>We updated the manuscript by clarified the latency model's scope in the validation section. See Section VI (Performance Validation).</w:t>
      </w:r>
    </w:p>
    <w:p/>
    <w:p>
      <w:r>
        <w:rPr>
          <w:b/>
        </w:rPr>
        <w:t xml:space="preserve">Reviewer#1, Concern # 10 (additional) (please list here): </w:t>
      </w:r>
      <w:r>
        <w:t>Dominant/emerging technologies such as QLC/PLC and ZNS/FDP, and recent (2024-2026) work, are only mentioned superficially.</w:t>
      </w:r>
    </w:p>
    <w:p>
      <w:r>
        <w:rPr>
          <w:b/>
        </w:rPr>
        <w:t xml:space="preserve">Author response: </w:t>
      </w:r>
      <w:r>
        <w:t>We expanded the Discussion to cite recent Zoned Namespace work (ZNS and ZNS+), Flexible Data Placement work (the FDP open-source ecosystem and FlashAlloc), and Quadruple-Level Cell (QLC) NAND analysis. We also explain why the quantitative wear-leveling analysis presented here (DoIPD, DoEC, CV, Gini, and Fourier spread) is increasingly relevant for high-density QLC and PLC NAND, which are more sensitive to write amplification and uneven wear. Most importantly, we added a Zoned Namespace (ZNS) mode to EyanaSSDSim, with host-managed garbage collection and optional hot/cold zone separation, and present it alongside the conventional garbage-collection policies in a single reclaim-strategy comparison figure. This comparison shows that ZNS eliminates write amplification for sequential workloads (WAF 1.38 to 1.00) and that hot/cold zone separation reduces it further for the skewed Zipf workload (to 1.02).</w:t>
      </w:r>
    </w:p>
    <w:p>
      <w:r>
        <w:rPr>
          <w:b/>
        </w:rPr>
        <w:t xml:space="preserve">Author action: </w:t>
      </w:r>
      <w:r>
        <w:t>We updated the manuscript by added a ZNS mode and folded its comparison into a single reclaim-strategy figure (greedy, cost-benefit, FIFO, ZNS, and ZNS with hot/cold separation), and expanded the Discussion with recent ZNS, FDP, and QLC references. See Figure 13 (reclaim-strategy comparison including ZNS) and the Discussion in Section VII.</w:t>
      </w:r>
    </w:p>
    <w:p/>
    <w:p>
      <w:r>
        <w:rPr>
          <w:b/>
        </w:rPr>
        <w:t xml:space="preserve">Reviewer#1, Concern # 11 (additional) (please list here): </w:t>
      </w:r>
      <w:r>
        <w:t>Internal contradiction: Section IV-B states the uniform random pattern is beneficial for wear-leveling, while the erase-count analysis concludes the sequential pattern is optimal.</w:t>
      </w:r>
    </w:p>
    <w:p>
      <w:r>
        <w:rPr>
          <w:b/>
        </w:rPr>
        <w:t xml:space="preserve">Author response: </w:t>
      </w:r>
      <w:r>
        <w:t>This was a genuine ambiguity that we have resolved. The apparent contradiction arose from conflating two distinct notions: total wear (mean erase count, minimized by low-WAF workloads) and wear uniformity (dispersion of erase counts). We now state the trade-off explicitly and consistently: the uniform random workload yields the most uniform wear (lowest Gini/CV) but higher total wear; the sequential workload incurs the least total wear (a consequence of its near-ideal WAF); and the Zipf workload is the least uniform. All four metrics (DoEC, CV, Gini, Fourier) are reported together so the reader sees one coherent story.</w:t>
      </w:r>
    </w:p>
    <w:p>
      <w:r>
        <w:rPr>
          <w:b/>
        </w:rPr>
        <w:t xml:space="preserve">Author action: </w:t>
      </w:r>
      <w:r>
        <w:t>We updated the manuscript by rewrote Section IV-B and the erase-count analysis to state the two-axis trade-off up front and removed the contradictory phrasing. See the erase-count analysis in Section V and Figures 5 and 6.</w:t>
      </w:r>
    </w:p>
    <w:p/>
    <w:p>
      <w:r>
        <w:rPr>
          <w:b/>
        </w:rPr>
        <w:t xml:space="preserve">Reviewer#1, Concern # 12 (additional) (please list here): </w:t>
      </w:r>
      <w:r>
        <w:t>A satisfaction survey (95% of 1,011 participants) is a usability metric and does not validate the technical accuracy of the simulator.</w:t>
      </w:r>
    </w:p>
    <w:p>
      <w:r>
        <w:rPr>
          <w:b/>
        </w:rPr>
        <w:t xml:space="preserve">Author response: </w:t>
      </w:r>
      <w:r>
        <w:t>We agree and now scope the survey explicitly as usability/educational evidence, separate from the accuracy validation (which is established against FTLSim and FEMU). Technical accuracy and usability are presented as distinct claims.</w:t>
      </w:r>
    </w:p>
    <w:p>
      <w:r>
        <w:rPr>
          <w:b/>
        </w:rPr>
        <w:t xml:space="preserve">Author action: </w:t>
      </w:r>
      <w:r>
        <w:t>We updated the manuscript by reframed the Survey section as a usability/educational result and separated it from the accuracy validation. See Section VIII (Survey Result).</w:t>
      </w:r>
    </w:p>
    <w:p/>
    <w:p>
      <w:r>
        <w:rPr>
          <w:b/>
        </w:rPr>
        <w:t xml:space="preserve">Reviewer#2, Concern # 1 (please list here): </w:t>
      </w:r>
      <w:r>
        <w:t>The internal logic (e.g., a greedy GC policy) may be too simplistic compared to proprietary FTLs in industrial SSDs.</w:t>
      </w:r>
    </w:p>
    <w:p>
      <w:r>
        <w:rPr>
          <w:b/>
        </w:rPr>
        <w:t xml:space="preserve">Author response: </w:t>
      </w:r>
      <w:r>
        <w:t>We rebuilt the simulation core with a pluggable garbage-collection interface and now support cost-benefit and FIFO policies in addition to greedy. A comparison (added as a figure) shows the cost-benefit policy achieves more uniform wear than greedy on the uniform random workload, while greedy attains the lowest write amplification on the Zipf workload. We also scope the tool's claims to the FTL layer it models (data placement, garbage collection, wear-leveling, and write amplification); we acknowledge that proprietary industrial FTLs are more complex, and position EyanaSSDSim as an open, extensible analytical and educational testbed rather than a replica of a specific commercial device.</w:t>
      </w:r>
    </w:p>
    <w:p>
      <w:r>
        <w:rPr>
          <w:b/>
        </w:rPr>
        <w:t xml:space="preserve">Author action: </w:t>
      </w:r>
      <w:r>
        <w:t>We updated the manuscript by added cost-benefit and FIFO GC policies with a comparison figure, and scoped the modeling claims to the FTL layer. See Section VII (Discussion) and the new Figure 13.</w:t>
      </w:r>
    </w:p>
    <w:p/>
    <w:p>
      <w:r>
        <w:rPr>
          <w:b/>
        </w:rPr>
        <w:t xml:space="preserve">Reviewer#2, Concern # 2 (please list here): </w:t>
      </w:r>
      <w:r>
        <w:t>The results are largely descriptive of what is happening visually, rather than providing a rigorous proof of predictive accuracy.</w:t>
      </w:r>
    </w:p>
    <w:p>
      <w:r>
        <w:rPr>
          <w:b/>
        </w:rPr>
        <w:t xml:space="preserve">Author response: </w:t>
      </w:r>
      <w:r>
        <w:t>Beyond visualization we provide quantitative, reproducible metrics (WAF, DoIPD, DoEC, CV, Gini, Fourier) and validate WAF and latency against FTLSim and FEMU. The Workload Similarity Composition (WSC) metric maps real traces to synthetic profiles, enabling prescriptive firmware-tuning guidance (e.g., OPS sizing), which we make explicit.</w:t>
      </w:r>
    </w:p>
    <w:p>
      <w:r>
        <w:rPr>
          <w:b/>
        </w:rPr>
        <w:t xml:space="preserve">Author action: </w:t>
      </w:r>
      <w:r>
        <w:t>We updated the manuscript by strengthened the analysis framing and emphasized the WSC-driven, prescriptive guidance. See the Workload Characterization and Mapping analysis in Section V and Table 7.</w:t>
      </w:r>
    </w:p>
    <w:p/>
    <w:p>
      <w:r>
        <w:rPr>
          <w:b/>
        </w:rPr>
        <w:t xml:space="preserve">Reviewer#2, Concern # 3 (please list here): </w:t>
      </w:r>
      <w:r>
        <w:t>The work lacks a deep performance/accuracy benchmark against established tools.</w:t>
      </w:r>
    </w:p>
    <w:p>
      <w:r>
        <w:rPr>
          <w:b/>
        </w:rPr>
        <w:t xml:space="preserve">Author response: </w:t>
      </w:r>
      <w:r>
        <w:t>We report a direct WAF comparison against FTLSim (10% OPS) and FEMU (25% OPS) across all workloads and a read-latency comparison against FEMU, with differences quantified and explained. The engine now has a regression test suite that pins its numerical behavior.</w:t>
      </w:r>
    </w:p>
    <w:p>
      <w:r>
        <w:rPr>
          <w:b/>
        </w:rPr>
        <w:t xml:space="preserve">Author action: </w:t>
      </w:r>
      <w:r>
        <w:t>We updated the manuscript by expanded the validation and added a unit-tested engine. See Section VI (Performance Validation) and Figures 11 and 12.</w:t>
      </w:r>
    </w:p>
    <w:p/>
    <w:p>
      <w:r>
        <w:rPr>
          <w:b/>
        </w:rPr>
        <w:t xml:space="preserve">Reviewer#2, Concern # 4 (please list here): </w:t>
      </w:r>
      <w:r>
        <w:t>The Survey Result section is shallow: it does not present the survey or discuss the results, and a controlled experiment would be needed to evaluate educational usefulness.</w:t>
      </w:r>
    </w:p>
    <w:p>
      <w:r>
        <w:rPr>
          <w:b/>
        </w:rPr>
        <w:t xml:space="preserve">Author response: </w:t>
      </w:r>
      <w:r>
        <w:t>We reframed the survey as usability/educational evidence and now present its scope and the distribution of responses. We agree that a controlled learning study would further strengthen the educational claim, and we note it as planned future work.</w:t>
      </w:r>
    </w:p>
    <w:p>
      <w:r>
        <w:rPr>
          <w:b/>
        </w:rPr>
        <w:t xml:space="preserve">Author action: </w:t>
      </w:r>
      <w:r>
        <w:t>We updated the manuscript by expanded and reframed the Survey section and scoped its claims. See Section VIII (Survey Result).</w:t>
      </w:r>
    </w:p>
    <w:p/>
    <w:p>
      <w:r>
        <w:rPr>
          <w:b/>
        </w:rPr>
        <w:t xml:space="preserve">Reviewer#2, Concern # 5 (please list here): </w:t>
      </w:r>
      <w:r>
        <w:t>The experimental design lacks a formal baseline comparison and evidence that results match real hardware.</w:t>
      </w:r>
    </w:p>
    <w:p>
      <w:r>
        <w:rPr>
          <w:b/>
        </w:rPr>
        <w:t xml:space="preserve">Author response: </w:t>
      </w:r>
      <w:r>
        <w:t>We provide the FTLSim/FEMU baseline comparison (WAF and latency) and clarify that EyanaSSDSim models FTL-level behavior, validated against these established simulators rather than against a specific hardware device. The manuscript now also states that the rebuilt engine is deterministic and unit-tested, with a regression suite pinning the WAF, GC, and allocation computations for reproducibility.</w:t>
      </w:r>
    </w:p>
    <w:p>
      <w:r>
        <w:rPr>
          <w:b/>
        </w:rPr>
        <w:t xml:space="preserve">Author action: </w:t>
      </w:r>
      <w:r>
        <w:t>We updated the manuscript by added the baseline comparison, clarified the validation target, and noted that the engine is deterministic and unit-tested for reproducibility. See Section VI (Performance Validation), the implementation note in Section IV, and the Code and Data Availability statement (the engine and experiment scripts are publicly released).</w:t>
      </w:r>
    </w:p>
    <w:p/>
    <w:p>
      <w:r>
        <w:rPr>
          <w:b/>
        </w:rPr>
        <w:t xml:space="preserve">Reviewer#3, Concern # 1 (please list here): </w:t>
      </w:r>
      <w:r>
        <w:t>Clarify the novelty: what is fundamentally new beyond visualization, and how it differs quantitatively from existing simulators.</w:t>
      </w:r>
    </w:p>
    <w:p>
      <w:r>
        <w:rPr>
          <w:b/>
        </w:rPr>
        <w:t xml:space="preserve">Author response: </w:t>
      </w:r>
      <w:r>
        <w:t>We sharpened the contribution statement. The novelty is the combination of (i) real-time internal visualization, (ii) the WSC metric that maps real traces to synthetic profiles for workload-aware tuning, and (iii) a multi-metric wear analysis (DoEC/CV/Gini/Fourier) not provided by the surveyed simulators; the feature table quantifies the gap versus MQSim, SSDModel, FEMU, and others.</w:t>
      </w:r>
    </w:p>
    <w:p>
      <w:r>
        <w:rPr>
          <w:b/>
        </w:rPr>
        <w:t xml:space="preserve">Author action: </w:t>
      </w:r>
      <w:r>
        <w:t>We updated the manuscript by rewrote the contributions and the differentiation discussion/feature table. See the contributions list in Section I and the feature comparison in Table 1.</w:t>
      </w:r>
    </w:p>
    <w:p/>
    <w:p>
      <w:r>
        <w:rPr>
          <w:b/>
        </w:rPr>
        <w:t xml:space="preserve">Reviewer#3, Concern # 2 (please list here): </w:t>
      </w:r>
      <w:r>
        <w:t>Improve technical depth by supporting/discussing more advanced GC strategies and queueing models, and justify why deterministic simulation is sufficient.</w:t>
      </w:r>
    </w:p>
    <w:p>
      <w:r>
        <w:rPr>
          <w:b/>
        </w:rPr>
        <w:t xml:space="preserve">Author response: </w:t>
      </w:r>
      <w:r>
        <w:t>We improved the technical depth in two ways. First, we added two garbage-collection policies beyond greedy -- cost-benefit (age/utilization-weighted) and FIFO -- with a comparative evaluation of write amplification and wear across the workloads. Second, we justify the deterministic design: EyanaSSDSim is deterministic by choice, as are established FTL research simulators, because determinism makes every internal event exactly reproducible, which is precisely what enables step-by-step visual tracking and repeatable teaching. We added an explicit Limitations statement noting that stochastic latency/error effects and advanced queueing models are outside the current scope and are planned future work.</w:t>
      </w:r>
    </w:p>
    <w:p>
      <w:r>
        <w:rPr>
          <w:b/>
        </w:rPr>
        <w:t xml:space="preserve">Author action: </w:t>
      </w:r>
      <w:r>
        <w:t>We updated the manuscript by added cost-benefit and FIFO GC policies with a comparison, and added a determinism rationale and a Limitations statement. See Section VII and Figure 13; the determinism rationale is in Section IV and the Limitations paragraph of Section VII.</w:t>
      </w:r>
    </w:p>
    <w:p/>
    <w:p>
      <w:r>
        <w:rPr>
          <w:b/>
        </w:rPr>
        <w:t xml:space="preserve">Reviewer#3, Concern # 3 (please list here): </w:t>
      </w:r>
      <w:r>
        <w:t>The Fourier Transform analysis feels over-engineered relative to the insight gained and needs clearer motivation versus simpler statistical methods.</w:t>
      </w:r>
    </w:p>
    <w:p>
      <w:r>
        <w:rPr>
          <w:b/>
        </w:rPr>
        <w:t xml:space="preserve">Author response: </w:t>
      </w:r>
      <w:r>
        <w:t>We now report the Coefficient of Variation and the Gini coefficient of the per-block erase counts alongside the Fourier amplitude spread, and we motivate the Fourier analysis as a complementary diagnostic. The scalar metrics quantify how uneven the wear is, whereas the Fourier spectrum additionally exposes the spatial and periodic structure of erase concentration -- which groups of blocks are repeatedly hottest, and at what spatial frequency -- that a single aggregate value cannot. We also removed the DC component from the spread so that a perfectly uniform distribution correctly yields zero. Because the three views agree on the overall ranking, the frequency-domain analysis is validated by, rather than a replacement for, the standard dispersion metrics.</w:t>
      </w:r>
    </w:p>
    <w:p>
      <w:r>
        <w:rPr>
          <w:b/>
        </w:rPr>
        <w:t xml:space="preserve">Author action: </w:t>
      </w:r>
      <w:r>
        <w:t>We updated the manuscript by added CV and Gini metrics alongside the Fourier spread and a clearer, complementary motivation for the Fourier analysis. See Section V (Analysis of the Simulation Results) and Figure 7.</w:t>
      </w:r>
    </w:p>
    <w:p/>
    <w:p>
      <w:r>
        <w:rPr>
          <w:b/>
        </w:rPr>
        <w:t xml:space="preserve">Reviewer#3, Concern # 4 (please list here): </w:t>
      </w:r>
      <w:r>
        <w:t>Fix grammar inconsistencies, improve sentence structure, and reduce overly long explanations.</w:t>
      </w:r>
    </w:p>
    <w:p>
      <w:r>
        <w:rPr>
          <w:b/>
        </w:rPr>
        <w:t xml:space="preserve">Author response: </w:t>
      </w:r>
      <w:r>
        <w:t>We fixed specific grammatical errors (e.g., 'invalidation's' -&gt; 'invalidations', 'shwon' -&gt; 'shown', a hard-coded table reference, and a block-count inconsistency) and tightened several long passages to improve readability.</w:t>
      </w:r>
    </w:p>
    <w:p>
      <w:r>
        <w:rPr>
          <w:b/>
        </w:rPr>
        <w:t xml:space="preserve">Author action: </w:t>
      </w:r>
      <w:r>
        <w:t>We updated the manuscript by fixed the specific grammatical errors noted above and tightened several passages. These corrections are applied throughout the manuscript.</w:t>
      </w:r>
    </w:p>
    <w:p/>
    <w:p>
      <w:r>
        <w:t>Note: References suggested by reviewers were added only where relevant to the article and where they make it more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