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drawing>
                <wp:inline distT="0" distB="0" distL="0" distR="0">
                  <wp:extent cx="1143000" cy="381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Title"/>
            </w:pPr>
            <w:r>
              <w:t xml:space="preserve">Process Definition Document</w:t>
            </w:r>
          </w:p>
        </w:tc>
      </w:tr>
    </w:tbl>
    <w:p>
      <w:r>
        <w:rPr>
          <w:b/>
          <w:bCs/>
        </w:rPr>
        <w:t xml:space="preserve">Distribuidora Aurora Ltda.
</w:t>
      </w:r>
      <w:r>
        <w:rPr>
          <w:b/>
          <w:bCs/>
        </w:rPr>
        <w:t xml:space="preserve">Conciliação de Pagamentos a Fornecedores
</w:t>
      </w:r>
      <w:r>
        <w:rPr>
          <w:i/>
          <w:iCs/>
        </w:rPr>
        <w:t xml:space="preserve">Documento fictício para homologação do Agente PDD/T2R. Empresas, pessoas, sistemas e valores são ilustrativos.
</w:t>
      </w:r>
    </w:p>
    <w:p>
      <w:pPr>
        <w:pStyle w:val="Heading2"/>
      </w:pPr>
      <w:r>
        <w:t xml:space="preserve">Histórico de Revisões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Versão</w:t>
            </w:r>
          </w:p>
        </w:tc>
        <w:tc>
          <w:p>
            <w:r>
              <w:t xml:space="preserve">Data</w:t>
            </w:r>
          </w:p>
        </w:tc>
        <w:tc>
          <w:p>
            <w:r>
              <w:t xml:space="preserve">Autor(es)</w:t>
            </w:r>
          </w:p>
        </w:tc>
        <w:tc>
          <w:p>
            <w:r>
              <w:t xml:space="preserve">Descrição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10/03/2026</w:t>
            </w:r>
          </w:p>
        </w:tc>
        <w:tc>
          <w:p>
            <w:r>
              <w:t xml:space="preserve">Carla Menezes</w:t>
            </w:r>
          </w:p>
        </w:tc>
        <w:tc>
          <w:p>
            <w:r>
              <w:t xml:space="preserve">Versão inicial do PDD.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02/05/2026</w:t>
            </w:r>
          </w:p>
        </w:tc>
        <w:tc>
          <w:p>
            <w:r>
              <w:t xml:space="preserve">Diego Furtado</w:t>
            </w:r>
          </w:p>
        </w:tc>
        <w:tc>
          <w:p>
            <w:r>
              <w:t xml:space="preserve">Inclusão da exceção EX-04 (fornecedor com CNPJ baixado na Receita Federal).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18/08/2026</w:t>
            </w:r>
          </w:p>
        </w:tc>
        <w:tc>
          <w:p>
            <w:r>
              <w:t xml:space="preserve">Carla Menezes</w:t>
            </w:r>
          </w:p>
        </w:tc>
        <w:tc>
          <w:p>
            <w:r>
              <w:t xml:space="preserve">Volume mensal atualizado de 1.800 para 2.400 notas fiscais e inclusão da execução das 13h30.</w:t>
            </w:r>
          </w:p>
        </w:tc>
      </w:tr>
    </w:tbl>
    <w:p>
      <w:pPr>
        <w:pStyle w:val="Heading2"/>
      </w:pPr>
      <w:r>
        <w:t xml:space="preserve">Histórico de Aprovação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Data do Envio</w:t>
            </w:r>
          </w:p>
        </w:tc>
        <w:tc>
          <w:p>
            <w:r>
              <w:t xml:space="preserve">Data de Aprovação</w:t>
            </w:r>
          </w:p>
        </w:tc>
        <w:tc>
          <w:p>
            <w:r>
              <w:t xml:space="preserve">Aprovador</w:t>
            </w:r>
          </w:p>
        </w:tc>
        <w:tc>
          <w:p>
            <w:r>
              <w:t xml:space="preserve">Versão Aprovada</w:t>
            </w:r>
          </w:p>
        </w:tc>
      </w:tr>
      <w:tr>
        <w:tc>
          <w:p>
            <w:r>
              <w:t xml:space="preserve">19/08/2026</w:t>
            </w:r>
          </w:p>
        </w:tc>
        <w:tc>
          <w:p>
            <w:r>
              <w:t xml:space="preserve">20/08/2026</w:t>
            </w:r>
          </w:p>
        </w:tc>
        <w:tc>
          <w:p>
            <w:r>
              <w:t xml:space="preserve">Roberto Lins (Coordenador Financeiro)</w:t>
            </w:r>
          </w:p>
        </w:tc>
        <w:tc>
          <w:p>
            <w:r>
              <w:t xml:space="preserve">1.2</w:t>
            </w:r>
          </w:p>
        </w:tc>
      </w:tr>
    </w:tbl>
    <w:p>
      <w:pPr>
        <w:pStyle w:val="Heading1"/>
      </w:pPr>
      <w:r>
        <w:t xml:space="preserve">Descrição do Processo</w:t>
      </w:r>
    </w:p>
    <w:p>
      <w:pPr>
        <w:pStyle w:val="Heading2"/>
      </w:pPr>
      <w:r>
        <w:t xml:space="preserve">1.1 Introdução a alteração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Item</w:t>
            </w:r>
          </w:p>
        </w:tc>
        <w:tc>
          <w:p>
            <w:r>
              <w:t xml:space="preserve">Descrição</w:t>
            </w:r>
          </w:p>
        </w:tc>
      </w:tr>
      <w:tr>
        <w:tc>
          <w:p>
            <w:r>
              <w:t xml:space="preserve">Processo</w:t>
            </w:r>
          </w:p>
        </w:tc>
        <w:tc>
          <w:p>
            <w:r>
              <w:t xml:space="preserve">Conciliação de Pagamentos a Fornecedores – robô RBT-FIN-07</w:t>
            </w:r>
          </w:p>
        </w:tc>
      </w:tr>
      <w:tr>
        <w:tc>
          <w:p>
            <w:r>
              <w:t xml:space="preserve">Cliente / Área</w:t>
            </w:r>
          </w:p>
        </w:tc>
        <w:tc>
          <w:p>
            <w:r>
              <w:t xml:space="preserve">Distribuidora Aurora Ltda. – Contas a Pagar (Diretoria Financeira)</w:t>
            </w:r>
          </w:p>
        </w:tc>
      </w:tr>
      <w:tr>
        <w:tc>
          <w:p>
            <w:r>
              <w:t xml:space="preserve">Objetivo e escopo</w:t>
            </w:r>
          </w:p>
        </w:tc>
        <w:tc>
          <w:p>
            <w:r>
              <w:t xml:space="preserve">Confrontar, duas vezes por dia útil, as notas fiscais de fornecedores em aberto no SAP S/4HANA com os pagamentos efetivados no Portal Banco Atlântico, registrados na planilha Controle_Pagamentos.xlsx. Meta: reduzir o tempo diário de conciliação de 6 horas para 1 hora e 30 minutos e eliminar pagamentos em duplicidade. Fora do escopo: fornecedores internacionais (moeda estrangeira), adiantamentos a fornecedores e pagamentos acima de R$ 250.000,00.</w:t>
            </w:r>
          </w:p>
        </w:tc>
      </w:tr>
    </w:tbl>
    <w:p>
      <w:pPr>
        <w:pStyle w:val="Heading2"/>
      </w:pPr>
      <w:r>
        <w:t xml:space="preserve">1.2 Contatos do Processo</w:t>
      </w:r>
    </w:p>
    <w:p>
      <w:r>
        <w:t xml:space="preserve">O documento de especificações inclui requisitos concisos e completos do processo de negócios.</w:t>
      </w:r>
    </w:p>
    <w:p>
      <w:pPr>
        <w:pStyle w:val="Heading2"/>
      </w:pPr>
      <w:r>
        <w:t xml:space="preserve">1.3 Mapa de Fluxo</w:t>
      </w:r>
    </w:p>
    <w:p>
      <w:pPr>
        <w:pStyle w:val="Heading3"/>
      </w:pPr>
      <w:r>
        <w:t xml:space="preserve">Fluxo SAE</w:t>
      </w:r>
    </w:p>
    <w:p>
      <w:r>
        <w:drawing>
          <wp:inline distT="0" distB="0" distL="0" distR="0">
            <wp:extent cx="5715000" cy="3209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1.4 Premissas do Processo</w:t>
      </w:r>
    </w:p>
    <w:p>
      <w:pPr>
        <w:pStyle w:val="Heading3"/>
      </w:pPr>
      <w:r>
        <w:t xml:space="preserve">Programas e Aplicações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Nome do Sistema</w:t>
            </w:r>
          </w:p>
        </w:tc>
        <w:tc>
          <w:p>
            <w:r>
              <w:t xml:space="preserve">Tipo</w:t>
            </w:r>
          </w:p>
        </w:tc>
        <w:tc>
          <w:p>
            <w:r>
              <w:t xml:space="preserve">Ambiente</w:t>
            </w:r>
          </w:p>
        </w:tc>
        <w:tc>
          <w:p>
            <w:r>
              <w:t xml:space="preserve">Observações</w:t>
            </w:r>
          </w:p>
        </w:tc>
      </w:tr>
      <w:tr>
        <w:tc>
          <w:p>
            <w:r>
              <w:t xml:space="preserve">SAP S/4HANA</w:t>
            </w:r>
          </w:p>
        </w:tc>
        <w:tc>
          <w:p>
            <w:r>
              <w:t xml:space="preserve">ERP</w:t>
            </w:r>
          </w:p>
        </w:tc>
        <w:tc>
          <w:p>
            <w:r>
              <w:t xml:space="preserve">Produção</w:t>
            </w:r>
          </w:p>
        </w:tc>
        <w:tc>
          <w:p>
            <w:r>
              <w:t xml:space="preserve">Transações FBL1N (consulta de partidas, somente leitura) e ZFI_CONC (gravação de status). Acesso liberado pela TI Cliente – Fernanda Rocha.</w:t>
            </w:r>
          </w:p>
        </w:tc>
      </w:tr>
      <w:tr>
        <w:tc>
          <w:p>
            <w:r>
              <w:t xml:space="preserve">Portal Banco Atlântico</w:t>
            </w:r>
          </w:p>
        </w:tc>
        <w:tc>
          <w:p>
            <w:r>
              <w:t xml:space="preserve">Web / Banco</w:t>
            </w:r>
          </w:p>
        </w:tc>
        <w:tc>
          <w:p>
            <w:r>
              <w:t xml:space="preserve">Produção</w:t>
            </w:r>
          </w:p>
        </w:tc>
        <w:tc>
          <w:p>
            <w:r>
              <w:t xml:space="preserve">Perfil Consulta de Pagamentos, liberado pela Tesouraria.</w:t>
            </w:r>
          </w:p>
        </w:tc>
      </w:tr>
      <w:tr>
        <w:tc>
          <w:p>
            <w:r>
              <w:t xml:space="preserve">VPN FortiClient</w:t>
            </w:r>
          </w:p>
        </w:tc>
        <w:tc>
          <w:p>
            <w:r>
              <w:t xml:space="preserve">Rede</w:t>
            </w:r>
          </w:p>
        </w:tc>
        <w:tc>
          <w:p>
            <w:r>
              <w:t xml:space="preserve">Produção</w:t>
            </w:r>
          </w:p>
        </w:tc>
        <w:tc>
          <w:p>
            <w:r>
              <w:t xml:space="preserve">Obrigatória durante toda a execução. Sem VPN o robô não é executado.</w:t>
            </w:r>
          </w:p>
        </w:tc>
      </w:tr>
      <w:tr>
        <w:tc>
          <w:p>
            <w:r>
              <w:t xml:space="preserve">CyberArk</w:t>
            </w:r>
          </w:p>
        </w:tc>
        <w:tc>
          <w:p>
            <w:r>
              <w:t xml:space="preserve">Cofre de senhas</w:t>
            </w:r>
          </w:p>
        </w:tc>
        <w:tc>
          <w:p>
            <w:r>
              <w:t xml:space="preserve">Produção</w:t>
            </w:r>
          </w:p>
        </w:tc>
        <w:tc>
          <w:p>
            <w:r>
              <w:t xml:space="preserve">Guarda a senha do usuário de serviço svc_rpa_fin07, que expira a cada 90 dias.</w:t>
            </w:r>
          </w:p>
        </w:tc>
      </w:tr>
    </w:tbl>
    <w:p>
      <w:pPr>
        <w:pStyle w:val="Heading3"/>
      </w:pPr>
      <w:r>
        <w:t xml:space="preserve">Documentos e Arquivos Relacionados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Documento</w:t>
            </w:r>
          </w:p>
        </w:tc>
        <w:tc>
          <w:p>
            <w:r>
              <w:t xml:space="preserve">Tipo</w:t>
            </w:r>
          </w:p>
        </w:tc>
        <w:tc>
          <w:p>
            <w:r>
              <w:t xml:space="preserve">Extensão</w:t>
            </w:r>
          </w:p>
        </w:tc>
        <w:tc>
          <w:p>
            <w:r>
              <w:t xml:space="preserve">Link</w:t>
            </w:r>
          </w:p>
        </w:tc>
      </w:tr>
      <w:tr>
        <w:tc>
          <w:p>
            <w:r>
              <w:t xml:space="preserve">Controle_Pagamentos.xlsx</w:t>
            </w:r>
          </w:p>
        </w:tc>
        <w:tc>
          <w:p>
            <w:r>
              <w:t xml:space="preserve">Planilha de controle de pagamentos</w:t>
            </w:r>
          </w:p>
        </w:tc>
        <w:tc>
          <w:p>
            <w:r>
              <w:t xml:space="preserve">XLSX</w:t>
            </w:r>
          </w:p>
        </w:tc>
        <w:tc>
          <w:p>
            <w:r>
              <w:t xml:space="preserve">\\FS01\Financeiro</w:t>
            </w:r>
          </w:p>
        </w:tc>
      </w:tr>
      <w:tr>
        <w:tc>
          <w:p>
            <w:r>
              <w:t xml:space="preserve">Relatório Diário de Conciliação</w:t>
            </w:r>
          </w:p>
        </w:tc>
        <w:tc>
          <w:p>
            <w:r>
              <w:t xml:space="preserve">Relatório gerado pelo robô</w:t>
            </w:r>
          </w:p>
        </w:tc>
        <w:tc>
          <w:p>
            <w:r>
              <w:t xml:space="preserve">XLSX</w:t>
            </w:r>
          </w:p>
        </w:tc>
        <w:tc>
          <w:p>
            <w:r>
              <w:t xml:space="preserve">Enviado por e-mail</w:t>
            </w:r>
          </w:p>
        </w:tc>
      </w:tr>
    </w:tbl>
    <w:p>
      <w:pPr>
        <w:pStyle w:val="Heading3"/>
      </w:pPr>
      <w:r>
        <w:t xml:space="preserve">Vídeos do Processo</w:t>
      </w:r>
    </w:p>
    <w:p>
      <w:r>
        <w:t xml:space="preserve">Gravação de Reunião — Mapeamento de Processo: Reunião realizada em 12/08/2026, com duração de 48 minutos.</w:t>
      </w:r>
    </w:p>
    <w:p>
      <w:pPr>
        <w:pStyle w:val="Heading2"/>
      </w:pPr>
      <w:r>
        <w:t xml:space="preserve">1.5 Responsabilidades</w:t>
      </w:r>
    </w:p>
    <w:p>
      <w:r>
        <w:t xml:space="preserve">Matriz RACI: Executar conciliação (robô): BITi9 (R/A), Área de Negócio (I), TI / Cliente (C).</w:t>
      </w:r>
    </w:p>
    <w:p>
      <w:pPr>
        <w:pStyle w:val="Heading1"/>
      </w:pPr>
      <w:r>
        <w:t xml:space="preserve">Detalhamento da Alteração</w:t>
      </w:r>
    </w:p>
    <w:p>
      <w:pPr>
        <w:pStyle w:val="Heading4"/>
      </w:pPr>
      <w:r>
        <w:t xml:space="preserve">2.1 - Início da execução</w:t>
      </w:r>
    </w:p>
    <w:p>
      <w:r>
        <w:t xml:space="preserve">[00:00] Ação: O robô inicia às 07h30 e às 13h30, somente em dias úteis. Em feriados municipais de São Paulo, não executa. Sistema: Orquestrador RPA</w:t>
      </w:r>
    </w:p>
    <w:p>
      <w:pPr>
        <w:pStyle w:val="Heading4"/>
      </w:pPr>
      <w:r>
        <w:t xml:space="preserve">2.2 - Conexão e acesso ao SAP</w:t>
      </w:r>
    </w:p>
    <w:p>
      <w:r>
        <w:t xml:space="preserve">[03:10] Ação: Conecta à VPN e acessa o SAP com o usuário de serviço svc_rpa_fin07, cuja senha é obtida no CyberArk. Sistema: VPN FortiClient / CyberArk / SAP S/4HANA</w:t>
      </w:r>
    </w:p>
    <w:p>
      <w:pPr>
        <w:pStyle w:val="Heading4"/>
      </w:pPr>
      <w:r>
        <w:t xml:space="preserve">2.7 - Regras de alçada</w:t>
      </w:r>
    </w:p>
    <w:p>
      <w:r>
        <w:t xml:space="preserve">[22:40] Ação: As regras de alçada foram discutidas no minuto [22:40] da reunião de mapeamento. Pagamentos até R$ 50.000,00 aprovados automaticamente se a diferença for &lt;= R$ 0,05.</w:t>
      </w:r>
    </w:p>
    <w:p>
      <w:pPr>
        <w:pStyle w:val="Heading4"/>
      </w:pPr>
      <w:r>
        <w:t xml:space="preserve">2.10 - Arquivamento e relatório</w:t>
      </w:r>
    </w:p>
    <w:p>
      <w:r>
        <w:t xml:space="preserve">[35:10] Ação: O robô salva o comprovante de pagamento no diretório da rede \\FS01\Conciliacao\AAAA-MM e envia o relatório diário de conciliação por e-mail.</w:t>
      </w:r>
    </w:p>
    <w:p>
      <w:pPr>
        <w:pStyle w:val="Heading1"/>
      </w:pPr>
      <w:r>
        <w:t xml:space="preserve">Exceções e Regras de Negócio</w:t>
      </w:r>
    </w:p>
    <w:p>
      <w:pPr>
        <w:pStyle w:val="Heading4"/>
      </w:pPr>
      <w:r>
        <w:t xml:space="preserve">3.1 Exceções de Negócio</w:t>
      </w:r>
    </w:p>
    <w:p>
      <w:r>
        <w:t xml:space="preserve">EX-01: Divergência de valor &gt; R$ 0,05. O robô não concilia e encaminha para fila de exceção manual.
EX-02: Pagamento não localizado no extrato do Portal Banco Atlântico.</w:t>
      </w:r>
    </w:p>
    <w:p>
      <w:pPr>
        <w:pStyle w:val="Heading4"/>
      </w:pPr>
      <w:r>
        <w:t xml:space="preserve">3.2 Exceções de Sistema</w:t>
      </w:r>
    </w:p>
    <w:p>
      <w:r>
        <w:t xml:space="preserve">EX-03: Indisponibilidade do SAP S/4HANA ou timeout superior a 5 minutos.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122c830d98978e89e1b49fd3b50c05a28f07fea.undefined"/><Relationship Id="rId8" Type="http://schemas.openxmlformats.org/officeDocument/2006/relationships/image" Target="media/5405c43e43900a2521ffbc461a1e0ab9c557c6ba.undefined"/><Relationship Id="rId9" Type="http://schemas.openxmlformats.org/officeDocument/2006/relationships/image" Target="media/61a4d6c9722e84590a2f90088ce74c2639ef41c3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2026-10-05T15:02:30.611Z</dcterms:created>
  <dcterms:modified xsi:type="dcterms:W3CDTF">2026-10-05T15:02:30.615Z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