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销售双录管理规定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双录触发、质检和异常升级要求。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wealth-recording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财富管理部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双录触发、质检和异常升级要求。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