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of stem principles and practices Part 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STEM Principle for High-Priority Design Requirement #1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 Concept: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Micro-biology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STEM concept applies directly to the specifics of your design: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As our design is intended for bathrooms, it is exposed to microbiomes and prone to collection of bacteria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before="0" w:line="240" w:lineRule="auto"/>
        <w:rPr>
          <w:rFonts w:ascii="Times New Roman" w:cs="Times New Roman" w:eastAsia="Times New Roman" w:hAnsi="Times New Roman"/>
          <w:b w:val="1"/>
          <w:color w:val="808080"/>
          <w:sz w:val="24"/>
          <w:szCs w:val="24"/>
        </w:rPr>
      </w:pPr>
      <w:bookmarkStart w:colFirst="0" w:colLast="0" w:name="_7krahrk8v88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808080"/>
          <w:sz w:val="24"/>
          <w:szCs w:val="24"/>
          <w:rtl w:val="0"/>
        </w:rPr>
        <w:t xml:space="preserve">Proposed Solution to STEM Principles and Practices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8080"/>
          <w:sz w:val="24"/>
          <w:szCs w:val="24"/>
          <w:rtl w:val="0"/>
        </w:rPr>
        <w:t xml:space="preserve"> (E2)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STEM Principle for Design Solution #1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 Concept: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Microbiology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STEM concept applies directly to the specifics of your solution: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We utilized materials (cork and pvc) that demonstrate antibacterial properties.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