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33AC" w:rsidRDefault="00E333AC">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Element C student work</w:t>
      </w:r>
    </w:p>
    <w:p w:rsidR="00E333AC" w:rsidRDefault="00E333AC">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September 25, 2025</w:t>
      </w:r>
    </w:p>
    <w:p w:rsidR="00E333AC" w:rsidRDefault="00E333AC">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12:55 PM</w:t>
      </w:r>
    </w:p>
    <w:p w:rsidR="00E333AC" w:rsidRDefault="00E333A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333AC" w:rsidRDefault="00E333A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C1-5 (sources and reasoning from B)(Priorities based from A)(ignore the ones, the numbering is broken): </w:t>
      </w:r>
    </w:p>
    <w:p w:rsidR="00E333AC" w:rsidRDefault="00E333AC">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Don't Harm The Turtles</w:t>
      </w:r>
    </w:p>
    <w:p w:rsidR="00E333AC" w:rsidRDefault="00E333AC">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333AC" w:rsidRDefault="00E333A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Glen et al. (2025) </w:t>
      </w:r>
      <w:r>
        <w:rPr>
          <w:rFonts w:ascii="Calibri" w:hAnsi="Calibri" w:cs="Calibri"/>
          <w:sz w:val="22"/>
          <w:szCs w:val="22"/>
        </w:rPr>
        <w:t xml:space="preserve">explain that turtles have slow-aging dynamics and long life-history patterns, meaning harm or stress can cause long-term negative effects on their overall health and longevity. Arena, Warwick, and Steedman (2014) emphasize that ethical treatment and proper welfare practices are essential to prevent unnecessary suffering and promote responsible care of captive turtles. </w:t>
      </w:r>
    </w:p>
    <w:p w:rsidR="00E333AC" w:rsidRDefault="00E333A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333AC" w:rsidRDefault="00E333AC">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Proper Basking</w:t>
      </w:r>
    </w:p>
    <w:p w:rsidR="00E333AC" w:rsidRDefault="00E333AC">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333AC" w:rsidRDefault="00E333AC">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Boyer (1965) and McKnight et al. (2023) found that basking—both daytime and nighttime—is vital for turtles’ thermoregulation, metabolism, and shell health. Providing proper basking opportunities ensures that turtles maintain strong immune systems and natural behavioral rhythms, reducing stress and illness in captivity. UVB light (280–315 nm) is essential for turtles and tortoises because it enables the synthesis of vitamin D3 (cholecalciferol) in their skin. Vitamin D3 facilitates calcium absorption in the </w:t>
      </w:r>
      <w:r>
        <w:rPr>
          <w:rFonts w:ascii="Calibri" w:hAnsi="Calibri" w:cs="Calibri"/>
          <w:color w:val="000000"/>
          <w:sz w:val="22"/>
          <w:szCs w:val="22"/>
        </w:rPr>
        <w:t>intestines, crucial for developing and maintaining strong bones and shells. Without adequate UVB, reptiles develop metabolic bone disease (MBD), characterized by soft, deformed shells, limb deformities, lethargy, and, in severe cases, death. While some species, such as aquatic turtles, can partially utilize dietary vitamin D3, this is less efficient and not a substitute for UVB exposure.</w:t>
      </w:r>
    </w:p>
    <w:p w:rsidR="00E333AC" w:rsidRDefault="00E333A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333AC" w:rsidRDefault="00E333AC">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Clean Tank Environment</w:t>
      </w:r>
    </w:p>
    <w:p w:rsidR="00E333AC" w:rsidRDefault="00E333AC">
      <w:pPr>
        <w:pStyle w:val="NormalWeb"/>
        <w:spacing w:beforeAutospacing="0" w:afterAutospacing="0"/>
        <w:rPr>
          <w:rFonts w:ascii="Calibri" w:hAnsi="Calibri" w:cs="Calibri"/>
          <w:color w:val="000000"/>
          <w:sz w:val="22"/>
          <w:szCs w:val="22"/>
        </w:rPr>
      </w:pPr>
      <w:r>
        <w:rPr>
          <w:rFonts w:ascii="Calibri" w:hAnsi="Calibri" w:cs="Calibri"/>
          <w:color w:val="000000"/>
          <w:sz w:val="22"/>
          <w:szCs w:val="22"/>
        </w:rPr>
        <w:t>Tanase et al. (2018) demonstrated that environmental conditions have a direct influence on turtle health, with poor water quality leading to infections and stress. Maintaining a clean and enriched environment, as supported by Escobedo-Bonilla et al. (2022), helps promote natural behaviors and overall wellness in turtles under human care. Ammonia: Should be at 0 ppm. Elevated levels can be toxic and result from waste buildup. Nitrites: Should also be at 0 ppm. Like ammonia, nitrites are harmful to turtles. N</w:t>
      </w:r>
      <w:r>
        <w:rPr>
          <w:rFonts w:ascii="Calibri" w:hAnsi="Calibri" w:cs="Calibri"/>
          <w:color w:val="000000"/>
          <w:sz w:val="22"/>
          <w:szCs w:val="22"/>
        </w:rPr>
        <w:t>itrates: Should be below 40 ppm. While less toxic, high nitrate levels can indicate poor water quality</w:t>
      </w:r>
    </w:p>
    <w:p w:rsidR="00E333AC" w:rsidRDefault="00E333AC">
      <w:pPr>
        <w:pStyle w:val="NormalWeb"/>
        <w:spacing w:beforeAutospacing="0" w:afterAutospacing="0"/>
        <w:rPr>
          <w:rFonts w:ascii="Calibri" w:hAnsi="Calibri" w:cs="Calibri"/>
          <w:color w:val="FF0000"/>
          <w:sz w:val="22"/>
          <w:szCs w:val="22"/>
        </w:rPr>
      </w:pPr>
      <w:r>
        <w:rPr>
          <w:rFonts w:ascii="Calibri" w:hAnsi="Calibri" w:cs="Calibri"/>
          <w:color w:val="FF0000"/>
          <w:sz w:val="22"/>
          <w:szCs w:val="22"/>
        </w:rPr>
        <w:t> </w:t>
      </w:r>
    </w:p>
    <w:p w:rsidR="00E333AC" w:rsidRDefault="00E333AC">
      <w:pPr>
        <w:pStyle w:val="NormalWeb"/>
        <w:spacing w:before="0" w:beforeAutospacing="0" w:after="0" w:afterAutospacing="0"/>
        <w:rPr>
          <w:rFonts w:ascii="Calibri" w:hAnsi="Calibri" w:cs="Calibri"/>
          <w:sz w:val="22"/>
          <w:szCs w:val="22"/>
        </w:rPr>
      </w:pPr>
      <w:r>
        <w:rPr>
          <w:rFonts w:ascii="Calibri" w:hAnsi="Calibri" w:cs="Calibri"/>
          <w:sz w:val="22"/>
          <w:szCs w:val="22"/>
        </w:rPr>
        <w:t>Low Priority:</w:t>
      </w:r>
    </w:p>
    <w:p w:rsidR="00E333AC" w:rsidRDefault="00E333A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333AC" w:rsidRDefault="00E333AC">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Turtle Health Over Periods of Time</w:t>
      </w:r>
    </w:p>
    <w:p w:rsidR="00E333AC" w:rsidRDefault="00E333AC">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333AC" w:rsidRDefault="00E333AC">
      <w:pPr>
        <w:pStyle w:val="NormalWeb"/>
        <w:spacing w:before="0" w:beforeAutospacing="0" w:after="0" w:afterAutospacing="0"/>
        <w:rPr>
          <w:rFonts w:ascii="Calibri" w:hAnsi="Calibri" w:cs="Calibri"/>
          <w:sz w:val="22"/>
          <w:szCs w:val="22"/>
        </w:rPr>
      </w:pPr>
      <w:r>
        <w:rPr>
          <w:rFonts w:ascii="Calibri" w:hAnsi="Calibri" w:cs="Calibri"/>
          <w:sz w:val="22"/>
          <w:szCs w:val="22"/>
        </w:rPr>
        <w:t>Case, Lewbart, and Doerr (2005) showed that enriched and healthy environments lead to improved physiological and behavioral responses in turtles. Regular monitoring of health, diet, and surroundings helps ensure the longevity and welfare of turtles, aligning with best practices for captive animal care described by Higgins (2003).</w:t>
      </w:r>
    </w:p>
    <w:p w:rsidR="00E333AC" w:rsidRDefault="00E333A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333AC" w:rsidRDefault="00E333AC">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Educational Responsibilities of Turtles Owners</w:t>
      </w:r>
    </w:p>
    <w:p w:rsidR="00E333AC" w:rsidRDefault="00E333AC">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333AC" w:rsidRDefault="00E333A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Escobedo-Bonilla et al. (2022) highlight how welfare and enrichment not only benefit the turtles </w:t>
      </w:r>
      <w:r>
        <w:rPr>
          <w:rFonts w:ascii="Calibri" w:hAnsi="Calibri" w:cs="Calibri"/>
          <w:sz w:val="22"/>
          <w:szCs w:val="22"/>
        </w:rPr>
        <w:t xml:space="preserve">but also educate owners about ethical animal care. Arena et al. (2014) further stress that responsible ownership </w:t>
      </w:r>
      <w:r>
        <w:rPr>
          <w:rFonts w:ascii="Calibri" w:hAnsi="Calibri" w:cs="Calibri"/>
          <w:sz w:val="22"/>
          <w:szCs w:val="22"/>
        </w:rPr>
        <w:lastRenderedPageBreak/>
        <w:t>includes understanding the environmental and moral implications of keeping turtles, promoting awareness and long-term stewardship among turtle keepers.</w:t>
      </w:r>
    </w:p>
    <w:p w:rsidR="00E333AC" w:rsidRDefault="00E333A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333AC" w:rsidRDefault="00E333A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333AC" w:rsidRDefault="00E333AC">
      <w:pPr>
        <w:pStyle w:val="NormalWeb"/>
        <w:spacing w:before="0" w:beforeAutospacing="0" w:after="0" w:afterAutospacing="0"/>
        <w:rPr>
          <w:rFonts w:ascii="Calibri" w:hAnsi="Calibri" w:cs="Calibri"/>
          <w:sz w:val="22"/>
          <w:szCs w:val="22"/>
        </w:rPr>
      </w:pPr>
      <w:r>
        <w:rPr>
          <w:rFonts w:ascii="Calibri" w:hAnsi="Calibri" w:cs="Calibri"/>
          <w:sz w:val="22"/>
          <w:szCs w:val="22"/>
        </w:rPr>
        <w:t>6: Aesthetics and Greenery (Looks Nice)</w:t>
      </w:r>
    </w:p>
    <w:p w:rsidR="00E333AC" w:rsidRDefault="00E333AC">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36"/>
        <w:gridCol w:w="1865"/>
        <w:gridCol w:w="5980"/>
      </w:tblGrid>
      <w:tr w:rsidR="00000000">
        <w:trPr>
          <w:divId w:val="691954871"/>
        </w:trPr>
        <w:tc>
          <w:tcPr>
            <w:tcW w:w="1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333AC" w:rsidRDefault="00E333AC">
            <w:pPr>
              <w:pStyle w:val="NormalWeb"/>
              <w:spacing w:before="0" w:beforeAutospacing="0" w:after="0" w:afterAutospacing="0"/>
              <w:rPr>
                <w:rFonts w:ascii="Calibri" w:hAnsi="Calibri" w:cs="Calibri"/>
                <w:sz w:val="21"/>
                <w:szCs w:val="21"/>
              </w:rPr>
            </w:pPr>
            <w:r>
              <w:rPr>
                <w:rFonts w:ascii="Calibri" w:hAnsi="Calibri" w:cs="Calibri"/>
                <w:b/>
                <w:bCs/>
                <w:sz w:val="21"/>
                <w:szCs w:val="21"/>
              </w:rPr>
              <w:t xml:space="preserve">Element </w:t>
            </w:r>
          </w:p>
        </w:tc>
        <w:tc>
          <w:tcPr>
            <w:tcW w:w="18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333AC" w:rsidRDefault="00E333AC">
            <w:pPr>
              <w:pStyle w:val="NormalWeb"/>
              <w:spacing w:before="0" w:beforeAutospacing="0" w:after="0" w:afterAutospacing="0"/>
              <w:rPr>
                <w:rFonts w:ascii="Calibri" w:hAnsi="Calibri" w:cs="Calibri"/>
                <w:sz w:val="21"/>
                <w:szCs w:val="21"/>
              </w:rPr>
            </w:pPr>
            <w:r>
              <w:rPr>
                <w:rFonts w:ascii="Calibri" w:hAnsi="Calibri" w:cs="Calibri"/>
                <w:b/>
                <w:bCs/>
                <w:sz w:val="21"/>
                <w:szCs w:val="21"/>
              </w:rPr>
              <w:t>Aesthetic Function</w:t>
            </w:r>
          </w:p>
        </w:tc>
        <w:tc>
          <w:tcPr>
            <w:tcW w:w="57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333AC" w:rsidRDefault="00E333AC">
            <w:pPr>
              <w:pStyle w:val="NormalWeb"/>
              <w:spacing w:before="0" w:beforeAutospacing="0" w:after="0" w:afterAutospacing="0"/>
              <w:rPr>
                <w:rFonts w:ascii="Calibri" w:hAnsi="Calibri" w:cs="Calibri"/>
                <w:sz w:val="21"/>
                <w:szCs w:val="21"/>
              </w:rPr>
            </w:pPr>
            <w:r>
              <w:rPr>
                <w:rFonts w:ascii="Calibri" w:hAnsi="Calibri" w:cs="Calibri"/>
                <w:b/>
                <w:bCs/>
                <w:sz w:val="21"/>
                <w:szCs w:val="21"/>
              </w:rPr>
              <w:t>Dimensional Guidelines</w:t>
            </w:r>
          </w:p>
        </w:tc>
      </w:tr>
      <w:tr w:rsidR="00000000">
        <w:trPr>
          <w:divId w:val="691954871"/>
        </w:trPr>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333AC" w:rsidRDefault="00E333AC">
            <w:pPr>
              <w:pStyle w:val="NormalWeb"/>
              <w:spacing w:before="0" w:beforeAutospacing="0" w:after="0" w:afterAutospacing="0" w:line="260" w:lineRule="atLeast"/>
              <w:rPr>
                <w:rFonts w:ascii="Calibri" w:hAnsi="Calibri" w:cs="Calibri"/>
                <w:sz w:val="21"/>
                <w:szCs w:val="21"/>
              </w:rPr>
            </w:pPr>
            <w:r>
              <w:rPr>
                <w:rFonts w:ascii="Calibri" w:hAnsi="Calibri" w:cs="Calibri"/>
                <w:sz w:val="21"/>
                <w:szCs w:val="21"/>
              </w:rPr>
              <w:t>Substrate</w:t>
            </w:r>
          </w:p>
        </w:tc>
        <w:tc>
          <w:tcPr>
            <w:tcW w:w="18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333AC" w:rsidRDefault="00E333AC">
            <w:pPr>
              <w:pStyle w:val="NormalWeb"/>
              <w:spacing w:before="0" w:beforeAutospacing="0" w:after="0" w:afterAutospacing="0" w:line="260" w:lineRule="atLeast"/>
              <w:rPr>
                <w:rFonts w:ascii="Calibri" w:hAnsi="Calibri" w:cs="Calibri"/>
                <w:sz w:val="21"/>
                <w:szCs w:val="21"/>
              </w:rPr>
            </w:pPr>
            <w:r>
              <w:rPr>
                <w:rFonts w:ascii="Calibri" w:hAnsi="Calibri" w:cs="Calibri"/>
                <w:sz w:val="21"/>
                <w:szCs w:val="21"/>
              </w:rPr>
              <w:t>Natural look (sand, soil, river rocks)</w:t>
            </w:r>
          </w:p>
        </w:tc>
        <w:tc>
          <w:tcPr>
            <w:tcW w:w="59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333AC" w:rsidRDefault="00E333AC">
            <w:pPr>
              <w:pStyle w:val="NormalWeb"/>
              <w:spacing w:before="0" w:beforeAutospacing="0" w:after="0" w:afterAutospacing="0" w:line="260" w:lineRule="atLeast"/>
              <w:rPr>
                <w:rFonts w:ascii="Calibri" w:hAnsi="Calibri" w:cs="Calibri"/>
                <w:sz w:val="21"/>
                <w:szCs w:val="21"/>
              </w:rPr>
            </w:pPr>
            <w:r>
              <w:rPr>
                <w:rFonts w:ascii="Calibri" w:hAnsi="Calibri" w:cs="Calibri"/>
                <w:sz w:val="21"/>
                <w:szCs w:val="21"/>
              </w:rPr>
              <w:t>Layer at least 4 inches deep indoors, or 12 inches deep outdoors, to allow for digging/burrowing. Avoid small gravel or pebbles that could be swallowed.</w:t>
            </w:r>
          </w:p>
        </w:tc>
      </w:tr>
      <w:tr w:rsidR="00000000">
        <w:trPr>
          <w:divId w:val="691954871"/>
        </w:trPr>
        <w:tc>
          <w:tcPr>
            <w:tcW w:w="1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333AC" w:rsidRDefault="00E333AC">
            <w:pPr>
              <w:pStyle w:val="NormalWeb"/>
              <w:spacing w:before="0" w:beforeAutospacing="0" w:after="0" w:afterAutospacing="0" w:line="260" w:lineRule="atLeast"/>
              <w:rPr>
                <w:rFonts w:ascii="Calibri" w:hAnsi="Calibri" w:cs="Calibri"/>
                <w:sz w:val="21"/>
                <w:szCs w:val="21"/>
              </w:rPr>
            </w:pPr>
            <w:r>
              <w:rPr>
                <w:rFonts w:ascii="Calibri" w:hAnsi="Calibri" w:cs="Calibri"/>
                <w:sz w:val="21"/>
                <w:szCs w:val="21"/>
              </w:rPr>
              <w:t>Rocks &amp; Logs</w:t>
            </w:r>
          </w:p>
        </w:tc>
        <w:tc>
          <w:tcPr>
            <w:tcW w:w="18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333AC" w:rsidRDefault="00E333AC">
            <w:pPr>
              <w:pStyle w:val="NormalWeb"/>
              <w:spacing w:before="0" w:beforeAutospacing="0" w:after="0" w:afterAutospacing="0" w:line="260" w:lineRule="atLeast"/>
              <w:rPr>
                <w:rFonts w:ascii="Calibri" w:hAnsi="Calibri" w:cs="Calibri"/>
                <w:sz w:val="21"/>
                <w:szCs w:val="21"/>
              </w:rPr>
            </w:pPr>
            <w:r>
              <w:rPr>
                <w:rFonts w:ascii="Calibri" w:hAnsi="Calibri" w:cs="Calibri"/>
                <w:sz w:val="21"/>
                <w:szCs w:val="21"/>
              </w:rPr>
              <w:t>Basking spots, hiding places, climbing</w:t>
            </w:r>
          </w:p>
        </w:tc>
        <w:tc>
          <w:tcPr>
            <w:tcW w:w="5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333AC" w:rsidRDefault="00E333AC">
            <w:pPr>
              <w:pStyle w:val="NormalWeb"/>
              <w:spacing w:before="0" w:beforeAutospacing="0" w:after="0" w:afterAutospacing="0" w:line="260" w:lineRule="atLeast"/>
              <w:rPr>
                <w:rFonts w:ascii="Calibri" w:hAnsi="Calibri" w:cs="Calibri"/>
                <w:sz w:val="21"/>
                <w:szCs w:val="21"/>
              </w:rPr>
            </w:pPr>
            <w:r>
              <w:rPr>
                <w:rFonts w:ascii="Calibri" w:hAnsi="Calibri" w:cs="Calibri"/>
                <w:sz w:val="21"/>
                <w:szCs w:val="21"/>
              </w:rPr>
              <w:t xml:space="preserve">Use </w:t>
            </w:r>
            <w:r>
              <w:rPr>
                <w:rFonts w:ascii="Calibri" w:hAnsi="Calibri" w:cs="Calibri"/>
                <w:sz w:val="21"/>
                <w:szCs w:val="21"/>
              </w:rPr>
              <w:t>large, smooth rocks and mold-resistant wood (like Mopani wood). Ensure logs extending into the water provide easy entry/exit points and a dry basking spot under UV light.</w:t>
            </w:r>
          </w:p>
        </w:tc>
      </w:tr>
      <w:tr w:rsidR="00000000">
        <w:trPr>
          <w:divId w:val="691954871"/>
        </w:trPr>
        <w:tc>
          <w:tcPr>
            <w:tcW w:w="1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333AC" w:rsidRDefault="00E333AC">
            <w:pPr>
              <w:pStyle w:val="NormalWeb"/>
              <w:spacing w:before="0" w:beforeAutospacing="0" w:after="0" w:afterAutospacing="0" w:line="260" w:lineRule="atLeast"/>
              <w:rPr>
                <w:rFonts w:ascii="Calibri" w:hAnsi="Calibri" w:cs="Calibri"/>
                <w:sz w:val="21"/>
                <w:szCs w:val="21"/>
              </w:rPr>
            </w:pPr>
            <w:r>
              <w:rPr>
                <w:rFonts w:ascii="Calibri" w:hAnsi="Calibri" w:cs="Calibri"/>
                <w:sz w:val="21"/>
                <w:szCs w:val="21"/>
              </w:rPr>
              <w:t>Hides</w:t>
            </w:r>
          </w:p>
        </w:tc>
        <w:tc>
          <w:tcPr>
            <w:tcW w:w="18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333AC" w:rsidRDefault="00E333AC">
            <w:pPr>
              <w:pStyle w:val="NormalWeb"/>
              <w:spacing w:before="0" w:beforeAutospacing="0" w:after="0" w:afterAutospacing="0" w:line="260" w:lineRule="atLeast"/>
              <w:rPr>
                <w:rFonts w:ascii="Calibri" w:hAnsi="Calibri" w:cs="Calibri"/>
                <w:sz w:val="21"/>
                <w:szCs w:val="21"/>
              </w:rPr>
            </w:pPr>
            <w:r>
              <w:rPr>
                <w:rFonts w:ascii="Calibri" w:hAnsi="Calibri" w:cs="Calibri"/>
                <w:sz w:val="21"/>
                <w:szCs w:val="21"/>
              </w:rPr>
              <w:t>Security, shelter, visual interest</w:t>
            </w:r>
          </w:p>
        </w:tc>
        <w:tc>
          <w:tcPr>
            <w:tcW w:w="58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333AC" w:rsidRDefault="00E333AC">
            <w:pPr>
              <w:pStyle w:val="NormalWeb"/>
              <w:spacing w:before="0" w:beforeAutospacing="0" w:after="0" w:afterAutospacing="0" w:line="260" w:lineRule="atLeast"/>
              <w:rPr>
                <w:rFonts w:ascii="Calibri" w:hAnsi="Calibri" w:cs="Calibri"/>
                <w:sz w:val="21"/>
                <w:szCs w:val="21"/>
              </w:rPr>
            </w:pPr>
            <w:r>
              <w:rPr>
                <w:rFonts w:ascii="Calibri" w:hAnsi="Calibri" w:cs="Calibri"/>
                <w:sz w:val="21"/>
                <w:szCs w:val="21"/>
              </w:rPr>
              <w:t>Provide hides (e.g., terra cotta pots, hollow logs) that are large enough for the turtle to enter, turn around, and exit easily. Place some in both sunny and shaded areas.</w:t>
            </w:r>
          </w:p>
        </w:tc>
      </w:tr>
      <w:tr w:rsidR="00000000">
        <w:trPr>
          <w:divId w:val="691954871"/>
        </w:trPr>
        <w:tc>
          <w:tcPr>
            <w:tcW w:w="1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333AC" w:rsidRDefault="00E333AC">
            <w:pPr>
              <w:pStyle w:val="NormalWeb"/>
              <w:spacing w:before="0" w:beforeAutospacing="0" w:after="0" w:afterAutospacing="0" w:line="260" w:lineRule="atLeast"/>
              <w:rPr>
                <w:rFonts w:ascii="Calibri" w:hAnsi="Calibri" w:cs="Calibri"/>
                <w:sz w:val="21"/>
                <w:szCs w:val="21"/>
              </w:rPr>
            </w:pPr>
            <w:r>
              <w:rPr>
                <w:rFonts w:ascii="Calibri" w:hAnsi="Calibri" w:cs="Calibri"/>
                <w:sz w:val="21"/>
                <w:szCs w:val="21"/>
              </w:rPr>
              <w:t>Plants</w:t>
            </w:r>
          </w:p>
        </w:tc>
        <w:tc>
          <w:tcPr>
            <w:tcW w:w="18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333AC" w:rsidRDefault="00E333AC">
            <w:pPr>
              <w:pStyle w:val="NormalWeb"/>
              <w:spacing w:before="0" w:beforeAutospacing="0" w:after="0" w:afterAutospacing="0" w:line="260" w:lineRule="atLeast"/>
              <w:rPr>
                <w:rFonts w:ascii="Calibri" w:hAnsi="Calibri" w:cs="Calibri"/>
                <w:sz w:val="21"/>
                <w:szCs w:val="21"/>
              </w:rPr>
            </w:pPr>
            <w:r>
              <w:rPr>
                <w:rFonts w:ascii="Calibri" w:hAnsi="Calibri" w:cs="Calibri"/>
                <w:sz w:val="21"/>
                <w:szCs w:val="21"/>
              </w:rPr>
              <w:t>Greenery, cover, oxygenation, food</w:t>
            </w:r>
          </w:p>
        </w:tc>
        <w:tc>
          <w:tcPr>
            <w:tcW w:w="59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333AC" w:rsidRDefault="00E333AC">
            <w:pPr>
              <w:pStyle w:val="NormalWeb"/>
              <w:spacing w:before="0" w:beforeAutospacing="0" w:after="0" w:afterAutospacing="0" w:line="260" w:lineRule="atLeast"/>
              <w:rPr>
                <w:rFonts w:ascii="Calibri" w:hAnsi="Calibri" w:cs="Calibri"/>
                <w:sz w:val="21"/>
                <w:szCs w:val="21"/>
              </w:rPr>
            </w:pPr>
            <w:r>
              <w:rPr>
                <w:rFonts w:ascii="Calibri" w:hAnsi="Calibri" w:cs="Calibri"/>
                <w:sz w:val="21"/>
                <w:szCs w:val="21"/>
              </w:rPr>
              <w:t>Use a variety of safe plants (see list below). Arrange them in "dense forests" or around hides to provide cover.</w:t>
            </w:r>
          </w:p>
        </w:tc>
      </w:tr>
    </w:tbl>
    <w:p w:rsidR="00E333AC" w:rsidRDefault="00E333AC">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color w:val="0070C0"/>
          <w:sz w:val="22"/>
          <w:szCs w:val="22"/>
        </w:rPr>
        <w:t>[AI]</w:t>
      </w:r>
    </w:p>
    <w:p w:rsidR="00E333AC" w:rsidRDefault="00E333A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333AC" w:rsidRDefault="00E333A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333AC" w:rsidRDefault="00E333A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333AC" w:rsidRDefault="00E333AC">
      <w:pPr>
        <w:pStyle w:val="NormalWeb"/>
        <w:spacing w:before="0" w:beforeAutospacing="0" w:after="0" w:afterAutospacing="0"/>
        <w:rPr>
          <w:rFonts w:ascii="Calibri" w:hAnsi="Calibri" w:cs="Calibri"/>
          <w:sz w:val="22"/>
          <w:szCs w:val="22"/>
        </w:rPr>
      </w:pPr>
      <w:r>
        <w:rPr>
          <w:rFonts w:ascii="Calibri" w:hAnsi="Calibri" w:cs="Calibri"/>
          <w:sz w:val="22"/>
          <w:szCs w:val="22"/>
        </w:rPr>
        <w:t>C6: Summary:  Attia, our stakeholder, gave us inspiration for the tank aesthetics and confirmed our priorities. We added numbers to our reasoning and made are priorities measurable. Our last priority was the Aesthetics which is not necessary but still important so it is low priority.</w:t>
      </w:r>
    </w:p>
    <w:p w:rsidR="00E333AC" w:rsidRDefault="00E333A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333AC" w:rsidRDefault="00E333AC">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Note from Mr Martz:</w:t>
      </w:r>
    </w:p>
    <w:p w:rsidR="00E333AC" w:rsidRDefault="00E333AC">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 xml:space="preserve">This is some very good work, but C4 may be the weak point. We need to be objective and measurable all of the time. </w:t>
      </w:r>
    </w:p>
    <w:p w:rsidR="00E333AC" w:rsidRDefault="00E333AC">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Also C6 – stakeholders need to be clearly identified (Hailey, Attia, Towson Bio dept and Towson University).</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F3CC0"/>
    <w:multiLevelType w:val="multilevel"/>
    <w:tmpl w:val="A440C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70787F"/>
    <w:multiLevelType w:val="multilevel"/>
    <w:tmpl w:val="B84CC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2850E5"/>
    <w:multiLevelType w:val="multilevel"/>
    <w:tmpl w:val="5122F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D70CD4"/>
    <w:multiLevelType w:val="multilevel"/>
    <w:tmpl w:val="C650A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C72187"/>
    <w:multiLevelType w:val="multilevel"/>
    <w:tmpl w:val="C344B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7828719">
    <w:abstractNumId w:val="1"/>
  </w:num>
  <w:num w:numId="2" w16cid:durableId="1015112094">
    <w:abstractNumId w:val="1"/>
    <w:lvlOverride w:ilvl="0">
      <w:startOverride w:val="1"/>
    </w:lvlOverride>
  </w:num>
  <w:num w:numId="3" w16cid:durableId="981811444">
    <w:abstractNumId w:val="3"/>
  </w:num>
  <w:num w:numId="4" w16cid:durableId="1812942173">
    <w:abstractNumId w:val="3"/>
    <w:lvlOverride w:ilvl="0">
      <w:startOverride w:val="1"/>
    </w:lvlOverride>
  </w:num>
  <w:num w:numId="5" w16cid:durableId="1974213809">
    <w:abstractNumId w:val="2"/>
  </w:num>
  <w:num w:numId="6" w16cid:durableId="1579747714">
    <w:abstractNumId w:val="2"/>
    <w:lvlOverride w:ilvl="0">
      <w:startOverride w:val="1"/>
    </w:lvlOverride>
  </w:num>
  <w:num w:numId="7" w16cid:durableId="38282535">
    <w:abstractNumId w:val="4"/>
  </w:num>
  <w:num w:numId="8" w16cid:durableId="1318415627">
    <w:abstractNumId w:val="4"/>
    <w:lvlOverride w:ilvl="0">
      <w:startOverride w:val="1"/>
    </w:lvlOverride>
  </w:num>
  <w:num w:numId="9" w16cid:durableId="1869179404">
    <w:abstractNumId w:val="0"/>
  </w:num>
  <w:num w:numId="10" w16cid:durableId="19897457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33AC"/>
    <w:rsid w:val="00DC52D0"/>
    <w:rsid w:val="00E33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90EBD93-24C5-4BE7-A603-1135295D7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95487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655</Words>
  <Characters>3734</Characters>
  <Application>Microsoft Office Word</Application>
  <DocSecurity>0</DocSecurity>
  <Lines>31</Lines>
  <Paragraphs>8</Paragraphs>
  <ScaleCrop>false</ScaleCrop>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Okeke, Winston</dc:creator>
  <cp:keywords/>
  <dc:description/>
  <cp:lastModifiedBy>Okeke, Winston</cp:lastModifiedBy>
  <cp:revision>2</cp:revision>
  <dcterms:created xsi:type="dcterms:W3CDTF">2025-12-11T07:26:00Z</dcterms:created>
  <dcterms:modified xsi:type="dcterms:W3CDTF">2025-12-11T07:26:00Z</dcterms:modified>
</cp:coreProperties>
</file>