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If you make a copy of this template to edit for your own record of expert evaluation, be sure to delete the instructions.</w:t>
      </w:r>
    </w:p>
    <w:p w:rsidR="00000000" w:rsidDel="00000000" w:rsidP="00000000" w:rsidRDefault="00000000" w:rsidRPr="00000000" w14:paraId="00000005">
      <w:pPr>
        <w:rPr/>
      </w:pPr>
      <w:r w:rsidDel="00000000" w:rsidR="00000000" w:rsidRPr="00000000">
        <w:rPr>
          <w:rtl w:val="0"/>
        </w:rPr>
        <w:t xml:space="preserve">In order to earn a 5 on this element, you will need to collect project evaluation from 3 or more stakeholders and 3 or more demonstrably-qualified field experts. Project evaluation includes providing feedback on the prototype, reviewing the testing results, providing feedback on the analysis of the testing results, and providing recommendations for improvement. Project evaluation should address 2 or more aspects of your design or engineering design process. Duplicate the evaluator template as needed if you have more evaluators than are listed in the template below.</w:t>
      </w:r>
    </w:p>
    <w:p w:rsidR="00000000" w:rsidDel="00000000" w:rsidP="00000000" w:rsidRDefault="00000000" w:rsidRPr="00000000" w14:paraId="00000006">
      <w:pPr>
        <w:pStyle w:val="Heading1"/>
        <w:rPr/>
      </w:pPr>
      <w:bookmarkStart w:colFirst="0" w:colLast="0" w:name="_30j0zll" w:id="1"/>
      <w:bookmarkEnd w:id="1"/>
      <w:r w:rsidDel="00000000" w:rsidR="00000000" w:rsidRPr="00000000">
        <w:rPr>
          <w:rtl w:val="0"/>
        </w:rPr>
        <w:t xml:space="preserve">Element J: Documentation of Evaluation</w:t>
      </w:r>
    </w:p>
    <w:p w:rsidR="00000000" w:rsidDel="00000000" w:rsidP="00000000" w:rsidRDefault="00000000" w:rsidRPr="00000000" w14:paraId="00000007">
      <w:pPr>
        <w:widowControl w:val="0"/>
        <w:spacing w:after="240" w:line="276" w:lineRule="auto"/>
        <w:rPr>
          <w:color w:val="424242"/>
        </w:rPr>
      </w:pPr>
      <w:r w:rsidDel="00000000" w:rsidR="00000000" w:rsidRPr="00000000">
        <w:rPr>
          <w:color w:val="424242"/>
          <w:rtl w:val="0"/>
        </w:rPr>
        <w:t xml:space="preserve">We had Manoj, who is an experienced engineer and designer that helped us think about the bigger picture and our priorities</w:t>
      </w:r>
    </w:p>
    <w:p w:rsidR="00000000" w:rsidDel="00000000" w:rsidP="00000000" w:rsidRDefault="00000000" w:rsidRPr="00000000" w14:paraId="00000008">
      <w:pPr>
        <w:widowControl w:val="0"/>
        <w:numPr>
          <w:ilvl w:val="0"/>
          <w:numId w:val="1"/>
        </w:numPr>
        <w:spacing w:after="0" w:afterAutospacing="0" w:line="276" w:lineRule="auto"/>
        <w:ind w:left="720" w:hanging="360"/>
        <w:rPr>
          <w:rFonts w:ascii="Open Sans" w:cs="Open Sans" w:eastAsia="Open Sans" w:hAnsi="Open Sans"/>
          <w:sz w:val="22"/>
          <w:szCs w:val="22"/>
        </w:rPr>
      </w:pPr>
      <w:r w:rsidDel="00000000" w:rsidR="00000000" w:rsidRPr="00000000">
        <w:rPr>
          <w:color w:val="424242"/>
          <w:rtl w:val="0"/>
        </w:rPr>
        <w:t xml:space="preserve">Making sure it's easy to use</w:t>
      </w:r>
    </w:p>
    <w:p w:rsidR="00000000" w:rsidDel="00000000" w:rsidP="00000000" w:rsidRDefault="00000000" w:rsidRPr="00000000" w14:paraId="00000009">
      <w:pPr>
        <w:widowControl w:val="0"/>
        <w:numPr>
          <w:ilvl w:val="1"/>
          <w:numId w:val="1"/>
        </w:numPr>
        <w:spacing w:after="0" w:afterAutospacing="0" w:line="276" w:lineRule="auto"/>
        <w:ind w:left="1440" w:hanging="360"/>
        <w:rPr>
          <w:rFonts w:ascii="Open Sans" w:cs="Open Sans" w:eastAsia="Open Sans" w:hAnsi="Open Sans"/>
        </w:rPr>
      </w:pPr>
      <w:r w:rsidDel="00000000" w:rsidR="00000000" w:rsidRPr="00000000">
        <w:rPr>
          <w:color w:val="424242"/>
          <w:rtl w:val="0"/>
        </w:rPr>
        <w:t xml:space="preserve">Simplifying the design further, not overcomplicating things</w:t>
      </w:r>
    </w:p>
    <w:p w:rsidR="00000000" w:rsidDel="00000000" w:rsidP="00000000" w:rsidRDefault="00000000" w:rsidRPr="00000000" w14:paraId="0000000A">
      <w:pPr>
        <w:widowControl w:val="0"/>
        <w:numPr>
          <w:ilvl w:val="1"/>
          <w:numId w:val="1"/>
        </w:numPr>
        <w:spacing w:after="0" w:afterAutospacing="0" w:line="276" w:lineRule="auto"/>
        <w:ind w:left="1440" w:hanging="360"/>
        <w:rPr>
          <w:rFonts w:ascii="Open Sans" w:cs="Open Sans" w:eastAsia="Open Sans" w:hAnsi="Open Sans"/>
        </w:rPr>
      </w:pPr>
      <w:r w:rsidDel="00000000" w:rsidR="00000000" w:rsidRPr="00000000">
        <w:rPr>
          <w:color w:val="424242"/>
          <w:rtl w:val="0"/>
        </w:rPr>
        <w:t xml:space="preserve">Helping smooth over past issues and </w:t>
      </w:r>
    </w:p>
    <w:p w:rsidR="00000000" w:rsidDel="00000000" w:rsidP="00000000" w:rsidRDefault="00000000" w:rsidRPr="00000000" w14:paraId="0000000B">
      <w:pPr>
        <w:widowControl w:val="0"/>
        <w:numPr>
          <w:ilvl w:val="0"/>
          <w:numId w:val="1"/>
        </w:numPr>
        <w:spacing w:after="0" w:afterAutospacing="0" w:line="276" w:lineRule="auto"/>
        <w:ind w:left="720" w:hanging="360"/>
        <w:rPr>
          <w:rFonts w:ascii="Open Sans" w:cs="Open Sans" w:eastAsia="Open Sans" w:hAnsi="Open Sans"/>
          <w:sz w:val="22"/>
          <w:szCs w:val="22"/>
        </w:rPr>
      </w:pPr>
      <w:r w:rsidDel="00000000" w:rsidR="00000000" w:rsidRPr="00000000">
        <w:rPr>
          <w:color w:val="424242"/>
          <w:rtl w:val="0"/>
        </w:rPr>
        <w:t xml:space="preserve">Spend a lot of time with Tracy</w:t>
      </w:r>
    </w:p>
    <w:p w:rsidR="00000000" w:rsidDel="00000000" w:rsidP="00000000" w:rsidRDefault="00000000" w:rsidRPr="00000000" w14:paraId="0000000C">
      <w:pPr>
        <w:widowControl w:val="0"/>
        <w:numPr>
          <w:ilvl w:val="0"/>
          <w:numId w:val="1"/>
        </w:numPr>
        <w:spacing w:after="0" w:afterAutospacing="0" w:line="276" w:lineRule="auto"/>
        <w:ind w:left="720" w:hanging="360"/>
        <w:rPr>
          <w:rFonts w:ascii="Open Sans" w:cs="Open Sans" w:eastAsia="Open Sans" w:hAnsi="Open Sans"/>
          <w:sz w:val="22"/>
          <w:szCs w:val="22"/>
        </w:rPr>
      </w:pPr>
      <w:r w:rsidDel="00000000" w:rsidR="00000000" w:rsidRPr="00000000">
        <w:rPr>
          <w:color w:val="424242"/>
          <w:rtl w:val="0"/>
        </w:rPr>
        <w:t xml:space="preserve">Removing sneeze guard all together and put on sliding doors instead</w:t>
      </w:r>
    </w:p>
    <w:p w:rsidR="00000000" w:rsidDel="00000000" w:rsidP="00000000" w:rsidRDefault="00000000" w:rsidRPr="00000000" w14:paraId="0000000D">
      <w:pPr>
        <w:widowControl w:val="0"/>
        <w:numPr>
          <w:ilvl w:val="0"/>
          <w:numId w:val="1"/>
        </w:numPr>
        <w:spacing w:after="240" w:line="276" w:lineRule="auto"/>
        <w:ind w:left="720" w:hanging="360"/>
        <w:rPr>
          <w:rFonts w:ascii="Open Sans" w:cs="Open Sans" w:eastAsia="Open Sans" w:hAnsi="Open Sans"/>
          <w:sz w:val="22"/>
          <w:szCs w:val="22"/>
        </w:rPr>
      </w:pPr>
      <w:r w:rsidDel="00000000" w:rsidR="00000000" w:rsidRPr="00000000">
        <w:rPr>
          <w:color w:val="424242"/>
          <w:rtl w:val="0"/>
        </w:rPr>
        <w:t xml:space="preserve">Think outside the box</w:t>
      </w:r>
    </w:p>
    <w:p w:rsidR="00000000" w:rsidDel="00000000" w:rsidP="00000000" w:rsidRDefault="00000000" w:rsidRPr="00000000" w14:paraId="0000000E">
      <w:pPr>
        <w:widowControl w:val="0"/>
        <w:spacing w:after="240" w:line="276" w:lineRule="auto"/>
        <w:rPr>
          <w:color w:val="424242"/>
        </w:rPr>
      </w:pPr>
      <w:r w:rsidDel="00000000" w:rsidR="00000000" w:rsidRPr="00000000">
        <w:rPr>
          <w:rtl w:val="0"/>
        </w:rPr>
      </w:r>
    </w:p>
    <w:p w:rsidR="00000000" w:rsidDel="00000000" w:rsidP="00000000" w:rsidRDefault="00000000" w:rsidRPr="00000000" w14:paraId="0000000F">
      <w:pPr>
        <w:widowControl w:val="0"/>
        <w:spacing w:after="240" w:line="276" w:lineRule="auto"/>
        <w:rPr>
          <w:color w:val="424242"/>
        </w:rPr>
      </w:pPr>
      <w:r w:rsidDel="00000000" w:rsidR="00000000" w:rsidRPr="00000000">
        <w:rPr>
          <w:rtl w:val="0"/>
        </w:rPr>
      </w:r>
    </w:p>
    <w:p w:rsidR="00000000" w:rsidDel="00000000" w:rsidP="00000000" w:rsidRDefault="00000000" w:rsidRPr="00000000" w14:paraId="00000010">
      <w:pPr>
        <w:widowControl w:val="0"/>
        <w:spacing w:after="240" w:line="276" w:lineRule="auto"/>
        <w:rPr>
          <w:color w:val="424242"/>
        </w:rPr>
      </w:pPr>
      <w:r w:rsidDel="00000000" w:rsidR="00000000" w:rsidRPr="00000000">
        <w:rPr>
          <w:rtl w:val="0"/>
        </w:rPr>
      </w:r>
    </w:p>
    <w:p w:rsidR="00000000" w:rsidDel="00000000" w:rsidP="00000000" w:rsidRDefault="00000000" w:rsidRPr="00000000" w14:paraId="00000011">
      <w:pPr>
        <w:pStyle w:val="Heading2"/>
        <w:rPr>
          <w:b w:val="0"/>
        </w:rPr>
      </w:pPr>
      <w:bookmarkStart w:colFirst="0" w:colLast="0" w:name="_4d34og8" w:id="2"/>
      <w:bookmarkEnd w:id="2"/>
      <w:r w:rsidDel="00000000" w:rsidR="00000000" w:rsidRPr="00000000">
        <w:rPr>
          <w:rtl w:val="0"/>
        </w:rPr>
        <w:t xml:space="preserve">Synthesis of the Project External Evaluation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Summarize all of the evaluators' comments in a way that highlights meaningful trends with specifics mentioned. Answer the questions, "What does the external evaluation mean?" and "What are you taking away from the external evaluation?".</w:t>
      </w:r>
    </w:p>
    <w:p w:rsidR="00000000" w:rsidDel="00000000" w:rsidP="00000000" w:rsidRDefault="00000000" w:rsidRPr="00000000" w14:paraId="00000013">
      <w:pPr>
        <w:rPr/>
      </w:pPr>
      <w:r w:rsidDel="00000000" w:rsidR="00000000" w:rsidRPr="00000000">
        <w:rPr>
          <w:rtl w:val="0"/>
        </w:rPr>
        <w:t xml:space="preserve">He wanted us to think outside the box, and to develop ideas that are far different from what we were originally thinking, to test our ability to design new things, without prior inspiration. He gave us a small list of ideas that are far different from what we were thinking, and some of the ideas were able to inspire our final prototype.</w:t>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Nun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C">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1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5">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6">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8">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right"/>
      <w:pPr>
        <w:ind w:left="720" w:hanging="360"/>
      </w:pPr>
      <w:rPr>
        <w:rFonts w:ascii="Nunito" w:cs="Nunito" w:eastAsia="Nunito" w:hAnsi="Nunito"/>
        <w:b w:val="0"/>
        <w:i w:val="0"/>
        <w:smallCaps w:val="0"/>
        <w:strike w:val="0"/>
        <w:color w:val="424242"/>
        <w:sz w:val="26"/>
        <w:szCs w:val="26"/>
        <w:u w:val="none"/>
        <w:shd w:fill="auto" w:val="clear"/>
        <w:vertAlign w:val="baseline"/>
      </w:rPr>
    </w:lvl>
    <w:lvl w:ilvl="1">
      <w:start w:val="1"/>
      <w:numFmt w:val="bullet"/>
      <w:lvlText w:val="○"/>
      <w:lvlJc w:val="right"/>
      <w:pPr>
        <w:ind w:left="1440" w:hanging="360"/>
      </w:pPr>
      <w:rPr>
        <w:rFonts w:ascii="Nunito" w:cs="Nunito" w:eastAsia="Nunito" w:hAnsi="Nunito"/>
        <w:b w:val="0"/>
        <w:i w:val="0"/>
        <w:smallCaps w:val="0"/>
        <w:strike w:val="0"/>
        <w:color w:val="424242"/>
        <w:sz w:val="22"/>
        <w:szCs w:val="22"/>
        <w:u w:val="none"/>
        <w:shd w:fill="auto" w:val="clear"/>
        <w:vertAlign w:val="baseline"/>
      </w:rPr>
    </w:lvl>
    <w:lvl w:ilvl="2">
      <w:start w:val="1"/>
      <w:numFmt w:val="bullet"/>
      <w:lvlText w:val="■"/>
      <w:lvlJc w:val="right"/>
      <w:pPr>
        <w:ind w:left="2160" w:hanging="360"/>
      </w:pPr>
      <w:rPr>
        <w:rFonts w:ascii="Nunito" w:cs="Nunito" w:eastAsia="Nunito" w:hAnsi="Nunito"/>
        <w:b w:val="0"/>
        <w:i w:val="0"/>
        <w:smallCaps w:val="0"/>
        <w:strike w:val="0"/>
        <w:color w:val="424242"/>
        <w:sz w:val="22"/>
        <w:szCs w:val="22"/>
        <w:u w:val="none"/>
        <w:shd w:fill="auto" w:val="clear"/>
        <w:vertAlign w:val="baseline"/>
      </w:rPr>
    </w:lvl>
    <w:lvl w:ilvl="3">
      <w:start w:val="1"/>
      <w:numFmt w:val="bullet"/>
      <w:lvlText w:val="●"/>
      <w:lvlJc w:val="right"/>
      <w:pPr>
        <w:ind w:left="2880" w:hanging="360"/>
      </w:pPr>
      <w:rPr>
        <w:rFonts w:ascii="Nunito" w:cs="Nunito" w:eastAsia="Nunito" w:hAnsi="Nunito"/>
        <w:b w:val="0"/>
        <w:i w:val="0"/>
        <w:smallCaps w:val="0"/>
        <w:strike w:val="0"/>
        <w:color w:val="424242"/>
        <w:sz w:val="22"/>
        <w:szCs w:val="22"/>
        <w:u w:val="none"/>
        <w:shd w:fill="auto" w:val="clear"/>
        <w:vertAlign w:val="baseline"/>
      </w:rPr>
    </w:lvl>
    <w:lvl w:ilvl="4">
      <w:start w:val="1"/>
      <w:numFmt w:val="bullet"/>
      <w:lvlText w:val="○"/>
      <w:lvlJc w:val="right"/>
      <w:pPr>
        <w:ind w:left="3600" w:hanging="360"/>
      </w:pPr>
      <w:rPr>
        <w:rFonts w:ascii="Nunito" w:cs="Nunito" w:eastAsia="Nunito" w:hAnsi="Nunito"/>
        <w:b w:val="0"/>
        <w:i w:val="0"/>
        <w:smallCaps w:val="0"/>
        <w:strike w:val="0"/>
        <w:color w:val="424242"/>
        <w:sz w:val="22"/>
        <w:szCs w:val="22"/>
        <w:u w:val="none"/>
        <w:shd w:fill="auto" w:val="clear"/>
        <w:vertAlign w:val="baseline"/>
      </w:rPr>
    </w:lvl>
    <w:lvl w:ilvl="5">
      <w:start w:val="1"/>
      <w:numFmt w:val="bullet"/>
      <w:lvlText w:val="■"/>
      <w:lvlJc w:val="right"/>
      <w:pPr>
        <w:ind w:left="4320" w:hanging="360"/>
      </w:pPr>
      <w:rPr>
        <w:rFonts w:ascii="Nunito" w:cs="Nunito" w:eastAsia="Nunito" w:hAnsi="Nunito"/>
        <w:b w:val="0"/>
        <w:i w:val="0"/>
        <w:smallCaps w:val="0"/>
        <w:strike w:val="0"/>
        <w:color w:val="424242"/>
        <w:sz w:val="22"/>
        <w:szCs w:val="22"/>
        <w:u w:val="none"/>
        <w:shd w:fill="auto" w:val="clear"/>
        <w:vertAlign w:val="baseline"/>
      </w:rPr>
    </w:lvl>
    <w:lvl w:ilvl="6">
      <w:start w:val="1"/>
      <w:numFmt w:val="bullet"/>
      <w:lvlText w:val="●"/>
      <w:lvlJc w:val="right"/>
      <w:pPr>
        <w:ind w:left="5040" w:hanging="360"/>
      </w:pPr>
      <w:rPr>
        <w:rFonts w:ascii="Nunito" w:cs="Nunito" w:eastAsia="Nunito" w:hAnsi="Nunito"/>
        <w:b w:val="0"/>
        <w:i w:val="0"/>
        <w:smallCaps w:val="0"/>
        <w:strike w:val="0"/>
        <w:color w:val="424242"/>
        <w:sz w:val="22"/>
        <w:szCs w:val="22"/>
        <w:u w:val="none"/>
        <w:shd w:fill="auto" w:val="clear"/>
        <w:vertAlign w:val="baseline"/>
      </w:rPr>
    </w:lvl>
    <w:lvl w:ilvl="7">
      <w:start w:val="1"/>
      <w:numFmt w:val="bullet"/>
      <w:lvlText w:val="○"/>
      <w:lvlJc w:val="right"/>
      <w:pPr>
        <w:ind w:left="5760" w:hanging="360"/>
      </w:pPr>
      <w:rPr>
        <w:rFonts w:ascii="Nunito" w:cs="Nunito" w:eastAsia="Nunito" w:hAnsi="Nunito"/>
        <w:b w:val="0"/>
        <w:i w:val="0"/>
        <w:smallCaps w:val="0"/>
        <w:strike w:val="0"/>
        <w:color w:val="424242"/>
        <w:sz w:val="22"/>
        <w:szCs w:val="22"/>
        <w:u w:val="none"/>
        <w:shd w:fill="auto" w:val="clear"/>
        <w:vertAlign w:val="baseline"/>
      </w:rPr>
    </w:lvl>
    <w:lvl w:ilvl="8">
      <w:start w:val="1"/>
      <w:numFmt w:val="bullet"/>
      <w:lvlText w:val="■"/>
      <w:lvlJc w:val="right"/>
      <w:pPr>
        <w:ind w:left="6480" w:hanging="360"/>
      </w:pPr>
      <w:rPr>
        <w:rFonts w:ascii="Nunito" w:cs="Nunito" w:eastAsia="Nunito" w:hAnsi="Nunito"/>
        <w:b w:val="0"/>
        <w:i w:val="0"/>
        <w:smallCaps w:val="0"/>
        <w:strike w:val="0"/>
        <w:color w:val="424242"/>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Nunito-regular.ttf"/><Relationship Id="rId4" Type="http://schemas.openxmlformats.org/officeDocument/2006/relationships/font" Target="fonts/Nuni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unito-italic.ttf"/><Relationship Id="rId6" Type="http://schemas.openxmlformats.org/officeDocument/2006/relationships/font" Target="fonts/Nuni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