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EFC3" w14:textId="77777777" w:rsidR="00F81935" w:rsidRPr="00F81935" w:rsidRDefault="00F81935" w:rsidP="00F81935">
      <w:r w:rsidRPr="00F81935">
        <w:t>The turtle habitat in the Living Lab houses two aquatic turtles of significantly different sizes, which has led to a clear imbalance in how environmental resources are used. The tank itself measures approximately 48.5 inches in length, 12.5 inches in width, and 25 inches in height, holding a maximum of 65.6 gallons and typically filled to about 55.1 gallons. Within this environment, the basking platform is a critical feature, currently measuring 15.5 inches by 13 inches with a height of 10 inches. The two turtles consist of a larger female (red-eyed slider) with a shell length of approximately 10–11 inches and a smaller male (western painted shell) measuring about 6 inches. This size disparity plays a major role in how the basking space is utilized, as the larger turtle is able to dominate the area and frequently pushes the smaller turtle away, limiting its access to the turtle’s essential basking. </w:t>
      </w:r>
    </w:p>
    <w:p w14:paraId="40030167" w14:textId="77777777" w:rsidR="00F81935" w:rsidRPr="00F81935" w:rsidRDefault="00F81935" w:rsidP="00F81935">
      <w:r w:rsidRPr="00F81935">
        <w:t>Basking is a necessary biological function for aquatic turtles. Turtles rely on basking to regulate their body temperature, with optimal basking temperatures typically ranging from 85–95°F. In addition, exposure to ultraviolet B (UVB) radiation is required for vitamin D₃, which is essential for calcium absorption and proper bone development</w:t>
      </w:r>
      <w:r w:rsidRPr="00F81935">
        <w:rPr>
          <w:vertAlign w:val="superscript"/>
        </w:rPr>
        <w:t>1,2</w:t>
      </w:r>
      <w:r w:rsidRPr="00F81935">
        <w:t xml:space="preserve">. The current habitat uses a 13-watt halogen bulb for heat and a 5-watt UVB bulb manufactured by </w:t>
      </w:r>
      <w:proofErr w:type="spellStart"/>
      <w:r w:rsidRPr="00F81935">
        <w:t>ZooMed</w:t>
      </w:r>
      <w:proofErr w:type="spellEnd"/>
      <w:r w:rsidRPr="00F81935">
        <w:t xml:space="preserve"> Laboratories. However, because access to the basking area is limited by competition, the smaller turtle may not receive enough heat or UVB exposure. This creates a measurable welfare concern, as insufficient basking could impair metabolism, weakened immune function, and conditions such as metabolic bone disease</w:t>
      </w:r>
      <w:r w:rsidRPr="00F81935">
        <w:rPr>
          <w:vertAlign w:val="superscript"/>
        </w:rPr>
        <w:t>1</w:t>
      </w:r>
      <w:r w:rsidRPr="00F81935">
        <w:t>. </w:t>
      </w:r>
    </w:p>
    <w:p w14:paraId="4E59A608" w14:textId="77777777" w:rsidR="00F81935" w:rsidRPr="00F81935" w:rsidRDefault="00F81935" w:rsidP="00F81935">
      <w:r w:rsidRPr="00F81935">
        <w:t>From a behavioral standpoint, the platform’s total surface area is approximately 201.5 square inches, the effective usable space is  reduced due to the larger turtle monopolizing the majority of the platform. The absence of separation or multiple access points allows this dominance behavior to persist. As a result, the smaller turtle is often forced away from the basking area, reducing its ability to regulate its thermal temperature and maintain proper health</w:t>
      </w:r>
      <w:r w:rsidRPr="00F81935">
        <w:rPr>
          <w:vertAlign w:val="superscript"/>
        </w:rPr>
        <w:t>3,4,5</w:t>
      </w:r>
      <w:r w:rsidRPr="00F81935">
        <w:t>. </w:t>
      </w:r>
    </w:p>
    <w:p w14:paraId="60436409" w14:textId="77777777" w:rsidR="00F81935" w:rsidRPr="00F81935" w:rsidRDefault="00F81935" w:rsidP="00F81935">
      <w:r w:rsidRPr="00F81935">
        <w:t>The primary stakeholders in this situation are the Living Lab team, led by Dr. Faith Weeks, who are responsible for maintaining the habitat and ensuring proper animal care. Secondary stakeholders include students who utilize the Living Lab for educational purposes, as the health and behavior of the turtles directly impact their observation. While the turtles themselves cannot be directly consulted, their behavior is observable evidence of stress and resource competition, making them important indirect stakeholders in the design process. Additionally, this affects the Towson community as a whole as many students view and interact with these turtles and other animals in the area. If this is a successful design, it might be used as a basis for other turtle habitats around the U.S.A. and the World. </w:t>
      </w:r>
    </w:p>
    <w:p w14:paraId="7E521A47" w14:textId="25543C86" w:rsidR="00F81935" w:rsidRPr="00F81935" w:rsidRDefault="00F81935" w:rsidP="00F81935">
      <w:r w:rsidRPr="00F81935">
        <w:lastRenderedPageBreak/>
        <w:t xml:space="preserve">Overall, the current habitat design does not adequately support equitable access to basking resources for both turtles. The problem can be defined as a lack of sufficient and accessible basking space that accommodates size differences and reduces competition. Addressing this issue </w:t>
      </w:r>
      <w:proofErr w:type="gramStart"/>
      <w:r w:rsidRPr="00F81935">
        <w:t>requires a redesign of</w:t>
      </w:r>
      <w:proofErr w:type="gramEnd"/>
      <w:r w:rsidRPr="00F81935">
        <w:t xml:space="preserve"> the basking area to increase surface area, improve the distribution of heat and UVB exposure, and potentially incorporate features that allow the smaller turtle to access basking space without interference from the larger one. Without these changes, the habitat will continue to favor one turtle over the other, undermining animal welfare. </w:t>
      </w:r>
    </w:p>
    <w:p w14:paraId="2EC7127A" w14:textId="77777777" w:rsidR="00F81935" w:rsidRPr="00F81935" w:rsidRDefault="00F81935" w:rsidP="00F81935">
      <w:r w:rsidRPr="00F81935">
        <w:rPr>
          <w:rFonts w:ascii="Arial" w:hAnsi="Arial" w:cs="Arial"/>
        </w:rPr>
        <w:t> </w:t>
      </w:r>
      <w:r w:rsidRPr="00F81935">
        <w:t> </w:t>
      </w:r>
    </w:p>
    <w:p w14:paraId="261C8F64" w14:textId="77777777" w:rsidR="00F81935" w:rsidRPr="00F81935" w:rsidRDefault="00F81935" w:rsidP="00F81935">
      <w:r w:rsidRPr="00F81935">
        <w:rPr>
          <w:rFonts w:ascii="Arial" w:hAnsi="Arial" w:cs="Arial"/>
        </w:rPr>
        <w:t> </w:t>
      </w:r>
      <w:r w:rsidRPr="00F81935">
        <w:t> </w:t>
      </w:r>
    </w:p>
    <w:p w14:paraId="30B5A43B" w14:textId="77777777" w:rsidR="00F81935" w:rsidRPr="00F81935" w:rsidRDefault="00F81935" w:rsidP="00F81935">
      <w:r w:rsidRPr="00F81935">
        <w:rPr>
          <w:rFonts w:ascii="Arial" w:hAnsi="Arial" w:cs="Arial"/>
        </w:rPr>
        <w:t> </w:t>
      </w:r>
      <w:r w:rsidRPr="00F81935">
        <w:t> </w:t>
      </w:r>
    </w:p>
    <w:p w14:paraId="436A280D" w14:textId="77777777" w:rsidR="00F81935" w:rsidRPr="00F81935" w:rsidRDefault="00F81935" w:rsidP="00F81935">
      <w:r w:rsidRPr="00F81935">
        <w:t>Sources: </w:t>
      </w:r>
    </w:p>
    <w:p w14:paraId="5A8F528A" w14:textId="77777777" w:rsidR="00F81935" w:rsidRPr="00F81935" w:rsidRDefault="00F81935" w:rsidP="00F81935">
      <w:pPr>
        <w:numPr>
          <w:ilvl w:val="0"/>
          <w:numId w:val="1"/>
        </w:numPr>
      </w:pPr>
      <w:r w:rsidRPr="00F81935">
        <w:t>Healey, M. (2025, November 6). </w:t>
      </w:r>
      <w:r w:rsidRPr="00F81935">
        <w:rPr>
          <w:i/>
          <w:iCs/>
        </w:rPr>
        <w:t xml:space="preserve">Creating a basking area for your red-eared slider - </w:t>
      </w:r>
      <w:proofErr w:type="spellStart"/>
      <w:r w:rsidRPr="00F81935">
        <w:rPr>
          <w:i/>
          <w:iCs/>
        </w:rPr>
        <w:t>reptifiles</w:t>
      </w:r>
      <w:proofErr w:type="spellEnd"/>
      <w:r w:rsidRPr="00F81935">
        <w:t>. ReptiFiles®. </w:t>
      </w:r>
      <w:hyperlink r:id="rId5" w:tgtFrame="_blank" w:history="1">
        <w:r w:rsidRPr="00F81935">
          <w:rPr>
            <w:rStyle w:val="Hyperlink"/>
          </w:rPr>
          <w:t>https://reptifiles.com/red-eared-slider-care/red-eared-slider-basking-area/</w:t>
        </w:r>
      </w:hyperlink>
      <w:r w:rsidRPr="00F81935">
        <w:t>   </w:t>
      </w:r>
    </w:p>
    <w:p w14:paraId="475E4D7A" w14:textId="77777777" w:rsidR="00F81935" w:rsidRPr="00F81935" w:rsidRDefault="00F81935" w:rsidP="00F81935">
      <w:pPr>
        <w:numPr>
          <w:ilvl w:val="0"/>
          <w:numId w:val="1"/>
        </w:numPr>
      </w:pPr>
      <w:r w:rsidRPr="00F81935">
        <w:t>Alarcon, E. (2016, August 1). </w:t>
      </w:r>
      <w:r w:rsidRPr="00F81935">
        <w:rPr>
          <w:i/>
          <w:iCs/>
        </w:rPr>
        <w:t>Effects of Ultra-violet B on the behavior of red-eared sliders.</w:t>
      </w:r>
      <w:r w:rsidRPr="00F81935">
        <w:t> CUNY Academic Works. CUNY Hunter College. </w:t>
      </w:r>
      <w:hyperlink r:id="rId6" w:tgtFrame="_blank" w:history="1">
        <w:r w:rsidRPr="00F81935">
          <w:rPr>
            <w:rStyle w:val="Hyperlink"/>
          </w:rPr>
          <w:t>https://academicworks.cuny.edu/cgi/viewcontent.cgi?article=1129&amp;context=hc_sas_etds</w:t>
        </w:r>
      </w:hyperlink>
      <w:r w:rsidRPr="00F81935">
        <w:t> </w:t>
      </w:r>
    </w:p>
    <w:p w14:paraId="07CF16E4" w14:textId="77777777" w:rsidR="00F81935" w:rsidRPr="00F81935" w:rsidRDefault="00F81935" w:rsidP="00F81935">
      <w:pPr>
        <w:numPr>
          <w:ilvl w:val="0"/>
          <w:numId w:val="1"/>
        </w:numPr>
      </w:pPr>
      <w:r w:rsidRPr="00F81935">
        <w:t>Ernst, Carl H., and Jeffrey E. Lovich. Turtles of the United States and Canada. 2nd ed., Johns Hopkins University Press, 2009. </w:t>
      </w:r>
    </w:p>
    <w:p w14:paraId="2EADECF0" w14:textId="77777777" w:rsidR="00F81935" w:rsidRPr="00F81935" w:rsidRDefault="00F81935" w:rsidP="00F81935">
      <w:pPr>
        <w:numPr>
          <w:ilvl w:val="0"/>
          <w:numId w:val="1"/>
        </w:numPr>
      </w:pPr>
      <w:r w:rsidRPr="00F81935">
        <w:t>The Turtle Conservancy. “Basic Care and Husbandry of Aquatic Turtles.” Turtle Conservancy Resources, 2022, </w:t>
      </w:r>
      <w:hyperlink r:id="rId7" w:tgtFrame="_blank" w:history="1">
        <w:r w:rsidRPr="00F81935">
          <w:rPr>
            <w:rStyle w:val="Hyperlink"/>
          </w:rPr>
          <w:t>www.turtleconservancy.org</w:t>
        </w:r>
      </w:hyperlink>
      <w:r w:rsidRPr="00F81935">
        <w:t>.</w:t>
      </w:r>
      <w:r w:rsidRPr="00F81935">
        <w:rPr>
          <w:rFonts w:ascii="Arial" w:hAnsi="Arial" w:cs="Arial"/>
        </w:rPr>
        <w:t> </w:t>
      </w:r>
      <w:r w:rsidRPr="00F81935">
        <w:rPr>
          <w:rFonts w:ascii="Aptos" w:hAnsi="Aptos" w:cs="Aptos"/>
        </w:rPr>
        <w:t> </w:t>
      </w:r>
    </w:p>
    <w:p w14:paraId="6167914C" w14:textId="77777777" w:rsidR="00F81935" w:rsidRPr="00F81935" w:rsidRDefault="00F81935" w:rsidP="00F81935">
      <w:pPr>
        <w:numPr>
          <w:ilvl w:val="0"/>
          <w:numId w:val="1"/>
        </w:numPr>
      </w:pPr>
      <w:r w:rsidRPr="00F81935">
        <w:t>Association of Zoos and Aquariums. Care Manual for Aquatic Turtles. AZA, 2021. </w:t>
      </w:r>
    </w:p>
    <w:p w14:paraId="5D3DEFD7" w14:textId="77777777" w:rsidR="00F81935" w:rsidRPr="00F81935" w:rsidRDefault="00F81935" w:rsidP="00F81935">
      <w:r w:rsidRPr="00F81935">
        <w:t> </w:t>
      </w:r>
    </w:p>
    <w:p w14:paraId="2E993E1E" w14:textId="77777777" w:rsidR="0094377B" w:rsidRDefault="0094377B"/>
    <w:sectPr w:rsidR="00943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158F7"/>
    <w:multiLevelType w:val="multilevel"/>
    <w:tmpl w:val="73DC3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258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935"/>
    <w:rsid w:val="0094377B"/>
    <w:rsid w:val="00B77ED7"/>
    <w:rsid w:val="00D84CB0"/>
    <w:rsid w:val="00F81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72768"/>
  <w15:chartTrackingRefBased/>
  <w15:docId w15:val="{F51468AB-5D9C-400B-83E6-413F482E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935"/>
    <w:rPr>
      <w:rFonts w:eastAsiaTheme="majorEastAsia" w:cstheme="majorBidi"/>
      <w:color w:val="272727" w:themeColor="text1" w:themeTint="D8"/>
    </w:rPr>
  </w:style>
  <w:style w:type="paragraph" w:styleId="Title">
    <w:name w:val="Title"/>
    <w:basedOn w:val="Normal"/>
    <w:next w:val="Normal"/>
    <w:link w:val="TitleChar"/>
    <w:uiPriority w:val="10"/>
    <w:qFormat/>
    <w:rsid w:val="00F81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935"/>
    <w:pPr>
      <w:spacing w:before="160"/>
      <w:jc w:val="center"/>
    </w:pPr>
    <w:rPr>
      <w:i/>
      <w:iCs/>
      <w:color w:val="404040" w:themeColor="text1" w:themeTint="BF"/>
    </w:rPr>
  </w:style>
  <w:style w:type="character" w:customStyle="1" w:styleId="QuoteChar">
    <w:name w:val="Quote Char"/>
    <w:basedOn w:val="DefaultParagraphFont"/>
    <w:link w:val="Quote"/>
    <w:uiPriority w:val="29"/>
    <w:rsid w:val="00F81935"/>
    <w:rPr>
      <w:i/>
      <w:iCs/>
      <w:color w:val="404040" w:themeColor="text1" w:themeTint="BF"/>
    </w:rPr>
  </w:style>
  <w:style w:type="paragraph" w:styleId="ListParagraph">
    <w:name w:val="List Paragraph"/>
    <w:basedOn w:val="Normal"/>
    <w:uiPriority w:val="34"/>
    <w:qFormat/>
    <w:rsid w:val="00F81935"/>
    <w:pPr>
      <w:ind w:left="720"/>
      <w:contextualSpacing/>
    </w:pPr>
  </w:style>
  <w:style w:type="character" w:styleId="IntenseEmphasis">
    <w:name w:val="Intense Emphasis"/>
    <w:basedOn w:val="DefaultParagraphFont"/>
    <w:uiPriority w:val="21"/>
    <w:qFormat/>
    <w:rsid w:val="00F81935"/>
    <w:rPr>
      <w:i/>
      <w:iCs/>
      <w:color w:val="0F4761" w:themeColor="accent1" w:themeShade="BF"/>
    </w:rPr>
  </w:style>
  <w:style w:type="paragraph" w:styleId="IntenseQuote">
    <w:name w:val="Intense Quote"/>
    <w:basedOn w:val="Normal"/>
    <w:next w:val="Normal"/>
    <w:link w:val="IntenseQuoteChar"/>
    <w:uiPriority w:val="30"/>
    <w:qFormat/>
    <w:rsid w:val="00F81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935"/>
    <w:rPr>
      <w:i/>
      <w:iCs/>
      <w:color w:val="0F4761" w:themeColor="accent1" w:themeShade="BF"/>
    </w:rPr>
  </w:style>
  <w:style w:type="character" w:styleId="IntenseReference">
    <w:name w:val="Intense Reference"/>
    <w:basedOn w:val="DefaultParagraphFont"/>
    <w:uiPriority w:val="32"/>
    <w:qFormat/>
    <w:rsid w:val="00F81935"/>
    <w:rPr>
      <w:b/>
      <w:bCs/>
      <w:smallCaps/>
      <w:color w:val="0F4761" w:themeColor="accent1" w:themeShade="BF"/>
      <w:spacing w:val="5"/>
    </w:rPr>
  </w:style>
  <w:style w:type="character" w:styleId="Hyperlink">
    <w:name w:val="Hyperlink"/>
    <w:basedOn w:val="DefaultParagraphFont"/>
    <w:uiPriority w:val="99"/>
    <w:unhideWhenUsed/>
    <w:rsid w:val="00F81935"/>
    <w:rPr>
      <w:color w:val="467886" w:themeColor="hyperlink"/>
      <w:u w:val="single"/>
    </w:rPr>
  </w:style>
  <w:style w:type="character" w:styleId="UnresolvedMention">
    <w:name w:val="Unresolved Mention"/>
    <w:basedOn w:val="DefaultParagraphFont"/>
    <w:uiPriority w:val="99"/>
    <w:semiHidden/>
    <w:unhideWhenUsed/>
    <w:rsid w:val="00F81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urtleconservancy.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ademicworks.cuny.edu/cgi/viewcontent.cgi?article=1129&amp;context=hc_sas_etds" TargetMode="External"/><Relationship Id="rId5" Type="http://schemas.openxmlformats.org/officeDocument/2006/relationships/hyperlink" Target="https://reptifiles.com/red-eared-slider-care/red-eared-slider-basking-are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694</Words>
  <Characters>3957</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Linne von Berg, Kevin</dc:creator>
  <cp:keywords/>
  <dc:description/>
  <cp:lastModifiedBy>Linne von Berg, Kevin</cp:lastModifiedBy>
  <cp:revision>1</cp:revision>
  <dcterms:created xsi:type="dcterms:W3CDTF">2026-05-15T13:19:00Z</dcterms:created>
  <dcterms:modified xsi:type="dcterms:W3CDTF">2026-05-15T13:20:00Z</dcterms:modified>
</cp:coreProperties>
</file>